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hint="eastAsia" w:ascii="黑体" w:eastAsia="黑体" w:hAnsiTheme="minorHAnsi" w:cstheme="minorBidi"/>
          <w:b/>
          <w:kern w:val="22"/>
          <w:sz w:val="44"/>
          <w:szCs w:val="44"/>
          <w:lang w:val="en-US" w:eastAsia="zh-CN"/>
        </w:rPr>
      </w:pPr>
      <w:r>
        <w:rPr>
          <w:rFonts w:hint="eastAsia" w:ascii="黑体" w:eastAsia="黑体" w:hAnsiTheme="minorHAnsi" w:cstheme="minorBidi"/>
          <w:b/>
          <w:kern w:val="22"/>
          <w:sz w:val="44"/>
          <w:szCs w:val="44"/>
        </w:rPr>
        <w:t>《</w:t>
      </w:r>
      <w:r>
        <w:rPr>
          <w:rFonts w:hint="eastAsia" w:ascii="黑体" w:eastAsia="黑体" w:hAnsiTheme="minorHAnsi" w:cstheme="minorBidi"/>
          <w:b/>
          <w:kern w:val="22"/>
          <w:sz w:val="44"/>
          <w:szCs w:val="44"/>
          <w:lang w:val="en-US" w:eastAsia="zh-CN"/>
        </w:rPr>
        <w:t xml:space="preserve">设施蔬菜固碳生产技术规程  </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lang w:val="en-US" w:eastAsia="zh-CN"/>
        </w:rPr>
        <w:t>果菜类育苗</w:t>
      </w:r>
      <w:r>
        <w:rPr>
          <w:rFonts w:hint="eastAsia" w:ascii="黑体" w:eastAsia="黑体" w:hAnsiTheme="minorHAnsi" w:cstheme="minorBidi"/>
          <w:b/>
          <w:kern w:val="22"/>
          <w:sz w:val="44"/>
          <w:szCs w:val="44"/>
        </w:rPr>
        <w:t>》</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spacing w:line="360" w:lineRule="auto"/>
        <w:jc w:val="center"/>
        <w:rPr>
          <w:rFonts w:hint="default" w:ascii="宋体" w:hAnsi="宋体" w:eastAsia="宋体"/>
          <w:b/>
          <w:kern w:val="22"/>
          <w:sz w:val="10"/>
          <w:szCs w:val="10"/>
          <w:lang w:val="en-US" w:eastAsia="zh-CN"/>
        </w:rPr>
      </w:pPr>
      <w:r>
        <w:rPr>
          <w:rFonts w:hint="eastAsia" w:ascii="宋体" w:hAnsi="宋体"/>
          <w:b/>
          <w:kern w:val="22"/>
          <w:sz w:val="32"/>
          <w:szCs w:val="32"/>
        </w:rPr>
        <w:t>编制单位：</w:t>
      </w:r>
      <w:r>
        <w:rPr>
          <w:rFonts w:hint="eastAsia" w:ascii="宋体" w:hAnsi="宋体"/>
          <w:b/>
          <w:kern w:val="22"/>
          <w:sz w:val="32"/>
          <w:szCs w:val="32"/>
          <w:lang w:val="en-US" w:eastAsia="zh-CN"/>
        </w:rPr>
        <w:t>山西农业大学、新绛县蔬菜发展中心、左云县鹊儿山镇便民服务中心</w:t>
      </w:r>
    </w:p>
    <w:p>
      <w:pPr>
        <w:jc w:val="center"/>
        <w:rPr>
          <w:rFonts w:ascii="宋体" w:hAnsi="宋体"/>
          <w:b/>
          <w:sz w:val="32"/>
          <w:szCs w:val="32"/>
        </w:rPr>
      </w:pPr>
      <w:r>
        <w:rPr>
          <w:rFonts w:hint="eastAsia" w:ascii="宋体" w:hAnsi="宋体"/>
          <w:b/>
          <w:sz w:val="32"/>
          <w:szCs w:val="32"/>
        </w:rPr>
        <w:t>二〇</w:t>
      </w:r>
      <w:r>
        <w:rPr>
          <w:rFonts w:hint="eastAsia" w:ascii="宋体" w:hAnsi="宋体"/>
          <w:b/>
          <w:sz w:val="32"/>
          <w:szCs w:val="32"/>
          <w:lang w:eastAsia="zh-CN"/>
        </w:rPr>
        <w:t>二四</w:t>
      </w:r>
      <w:r>
        <w:rPr>
          <w:rFonts w:hint="eastAsia" w:ascii="宋体" w:hAnsi="宋体"/>
          <w:b/>
          <w:sz w:val="32"/>
          <w:szCs w:val="32"/>
        </w:rPr>
        <w:t>年</w:t>
      </w:r>
      <w:r>
        <w:rPr>
          <w:rFonts w:hint="eastAsia" w:ascii="宋体" w:hAnsi="宋体"/>
          <w:b/>
          <w:sz w:val="32"/>
          <w:szCs w:val="32"/>
          <w:lang w:eastAsia="zh-CN"/>
        </w:rPr>
        <w:t>三</w:t>
      </w:r>
      <w:bookmarkStart w:id="0" w:name="_GoBack"/>
      <w:bookmarkEnd w:id="0"/>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山西省地方标准</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w:t>
      </w:r>
      <w:r>
        <w:rPr>
          <w:rFonts w:hint="eastAsia" w:ascii="宋体" w:hAnsi="宋体"/>
          <w:b/>
          <w:sz w:val="30"/>
          <w:szCs w:val="30"/>
          <w:lang w:val="en-US" w:eastAsia="zh-CN"/>
        </w:rPr>
        <w:t>设施蔬菜固碳生产技术规程  果菜类育苗</w:t>
      </w:r>
      <w:r>
        <w:rPr>
          <w:rFonts w:hint="eastAsia" w:ascii="宋体" w:hAnsi="宋体"/>
          <w:b/>
          <w:sz w:val="30"/>
          <w:szCs w:val="30"/>
        </w:rPr>
        <w:t>》</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r>
        <w:rPr>
          <w:rFonts w:hint="eastAsia" w:ascii="宋体" w:hAnsi="宋体"/>
          <w:b/>
          <w:sz w:val="30"/>
          <w:szCs w:val="30"/>
        </w:rPr>
        <w:t>编制说明</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hint="eastAsia" w:ascii="楷体_GB2312" w:eastAsia="楷体_GB2312"/>
          <w:sz w:val="24"/>
        </w:rPr>
        <w:t>1</w:t>
      </w:r>
      <w:r>
        <w:rPr>
          <w:rFonts w:hint="eastAsia" w:ascii="楷体_GB2312" w:eastAsia="楷体_GB2312"/>
          <w:sz w:val="24"/>
          <w:lang w:val="en-US" w:eastAsia="zh-CN"/>
        </w:rPr>
        <w:t xml:space="preserve"> </w:t>
      </w:r>
      <w:r>
        <w:rPr>
          <w:rFonts w:hint="eastAsia" w:ascii="楷体_GB2312" w:eastAsia="楷体_GB2312"/>
          <w:sz w:val="24"/>
        </w:rPr>
        <w:t>任务来源</w:t>
      </w:r>
    </w:p>
    <w:p>
      <w:pPr>
        <w:spacing w:line="360" w:lineRule="auto"/>
        <w:ind w:firstLine="480" w:firstLineChars="200"/>
        <w:jc w:val="left"/>
        <w:outlineLvl w:val="1"/>
        <w:rPr>
          <w:rFonts w:ascii="仿宋_GB2312" w:hAnsi="宋体" w:eastAsia="仿宋_GB2312"/>
          <w:sz w:val="24"/>
        </w:rPr>
      </w:pPr>
      <w:r>
        <w:rPr>
          <w:rFonts w:hint="eastAsia" w:ascii="仿宋_GB2312" w:hAnsi="宋体" w:eastAsia="仿宋_GB2312"/>
          <w:sz w:val="24"/>
          <w:lang w:val="en-US" w:eastAsia="zh-CN"/>
        </w:rPr>
        <w:t>按照</w:t>
      </w:r>
      <w:r>
        <w:rPr>
          <w:rFonts w:hint="eastAsia" w:ascii="仿宋_GB2312" w:hAnsi="宋体" w:eastAsia="仿宋_GB2312"/>
          <w:sz w:val="24"/>
        </w:rPr>
        <w:t>山西省市场监督管理局关于2022年度省级地方标准复审结论公告（山西省地方标准公告2022年第20号），《</w:t>
      </w:r>
      <w:r>
        <w:rPr>
          <w:rFonts w:hint="eastAsia" w:ascii="仿宋_GB2312" w:hAnsi="宋体" w:eastAsia="仿宋_GB2312"/>
          <w:sz w:val="24"/>
          <w:lang w:val="en-US" w:eastAsia="zh-CN"/>
        </w:rPr>
        <w:t>果菜类蔬菜高效固碳育苗</w:t>
      </w:r>
      <w:r>
        <w:rPr>
          <w:rFonts w:hint="eastAsia" w:ascii="仿宋_GB2312" w:hAnsi="宋体" w:eastAsia="仿宋_GB2312"/>
          <w:sz w:val="24"/>
          <w:lang w:eastAsia="zh-CN"/>
        </w:rPr>
        <w:t>技术规程</w:t>
      </w:r>
      <w:r>
        <w:rPr>
          <w:rFonts w:hint="eastAsia" w:ascii="仿宋_GB2312" w:hAnsi="宋体" w:eastAsia="仿宋_GB2312"/>
          <w:sz w:val="24"/>
        </w:rPr>
        <w:t>》DB14/T</w:t>
      </w:r>
      <w:r>
        <w:rPr>
          <w:rFonts w:hint="eastAsia" w:ascii="仿宋_GB2312" w:hAnsi="宋体" w:eastAsia="仿宋_GB2312"/>
          <w:sz w:val="24"/>
          <w:lang w:val="en-US" w:eastAsia="zh-CN"/>
        </w:rPr>
        <w:t xml:space="preserve"> 1281</w:t>
      </w:r>
      <w:r>
        <w:rPr>
          <w:rFonts w:hint="eastAsia" w:ascii="仿宋_GB2312" w:hAnsi="宋体" w:eastAsia="仿宋_GB2312"/>
          <w:sz w:val="24"/>
        </w:rPr>
        <w:t>-</w:t>
      </w:r>
      <w:r>
        <w:rPr>
          <w:rFonts w:hint="eastAsia" w:ascii="仿宋_GB2312" w:hAnsi="宋体" w:eastAsia="仿宋_GB2312"/>
          <w:sz w:val="24"/>
          <w:lang w:val="en-US" w:eastAsia="zh-CN"/>
        </w:rPr>
        <w:t>2016被</w:t>
      </w:r>
      <w:r>
        <w:rPr>
          <w:rFonts w:hint="eastAsia" w:ascii="仿宋_GB2312" w:hAnsi="宋体" w:eastAsia="仿宋_GB2312"/>
          <w:sz w:val="24"/>
        </w:rPr>
        <w:t>列</w:t>
      </w:r>
      <w:r>
        <w:rPr>
          <w:rFonts w:hint="eastAsia" w:ascii="仿宋_GB2312" w:hAnsi="宋体" w:eastAsia="仿宋_GB2312"/>
          <w:sz w:val="24"/>
          <w:lang w:val="en-US" w:eastAsia="zh-CN"/>
        </w:rPr>
        <w:t>入</w:t>
      </w:r>
      <w:r>
        <w:rPr>
          <w:rFonts w:hint="eastAsia" w:ascii="仿宋_GB2312" w:hAnsi="宋体" w:eastAsia="仿宋_GB2312"/>
          <w:sz w:val="24"/>
        </w:rPr>
        <w:t>山西省地方标准修订计划，本标准由山西省农业标准化技术委员会（SXS/TC19）归口。</w:t>
      </w:r>
    </w:p>
    <w:p>
      <w:pPr>
        <w:spacing w:line="360" w:lineRule="auto"/>
        <w:ind w:left="465"/>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spacing w:line="360" w:lineRule="auto"/>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lang w:val="en-US" w:eastAsia="zh-CN"/>
        </w:rPr>
        <w:t>山西农业大学、新绛县蔬菜发展中心、左云县鹊儿山镇便民服务中心</w:t>
      </w:r>
      <w:r>
        <w:rPr>
          <w:rFonts w:hint="eastAsia" w:ascii="仿宋_GB2312" w:hAnsi="宋体" w:eastAsia="仿宋_GB2312"/>
          <w:sz w:val="24"/>
          <w:lang w:eastAsia="zh-CN"/>
        </w:rPr>
        <w:t>承担</w:t>
      </w:r>
      <w:r>
        <w:rPr>
          <w:rFonts w:ascii="仿宋_GB2312" w:hAnsi="宋体" w:eastAsia="仿宋_GB2312"/>
          <w:sz w:val="24"/>
        </w:rPr>
        <w:t>。</w:t>
      </w:r>
    </w:p>
    <w:p>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2"/>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812"/>
        <w:gridCol w:w="1700"/>
        <w:gridCol w:w="2763"/>
        <w:gridCol w:w="2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tcPr>
          <w:p>
            <w:pPr>
              <w:spacing w:line="400" w:lineRule="exact"/>
              <w:jc w:val="center"/>
              <w:rPr>
                <w:rFonts w:ascii="仿宋" w:hAnsi="仿宋" w:eastAsia="仿宋" w:cs="Courier New"/>
                <w:sz w:val="24"/>
              </w:rPr>
            </w:pPr>
            <w:r>
              <w:rPr>
                <w:rFonts w:hint="eastAsia" w:ascii="仿宋" w:hAnsi="仿宋" w:eastAsia="仿宋" w:cs="Courier New"/>
                <w:sz w:val="24"/>
              </w:rPr>
              <w:t>姓名</w:t>
            </w:r>
          </w:p>
        </w:tc>
        <w:tc>
          <w:tcPr>
            <w:tcW w:w="812" w:type="dxa"/>
          </w:tcPr>
          <w:p>
            <w:pPr>
              <w:spacing w:line="400" w:lineRule="exact"/>
              <w:jc w:val="center"/>
              <w:rPr>
                <w:rFonts w:ascii="仿宋" w:hAnsi="仿宋" w:eastAsia="仿宋" w:cs="Courier New"/>
                <w:sz w:val="24"/>
              </w:rPr>
            </w:pPr>
            <w:r>
              <w:rPr>
                <w:rFonts w:hint="eastAsia" w:ascii="仿宋" w:hAnsi="仿宋" w:eastAsia="仿宋" w:cs="Courier New"/>
                <w:sz w:val="24"/>
              </w:rPr>
              <w:t>性别</w:t>
            </w:r>
          </w:p>
        </w:tc>
        <w:tc>
          <w:tcPr>
            <w:tcW w:w="1700" w:type="dxa"/>
          </w:tcPr>
          <w:p>
            <w:pPr>
              <w:spacing w:line="400" w:lineRule="exact"/>
              <w:jc w:val="center"/>
              <w:rPr>
                <w:rFonts w:ascii="仿宋" w:hAnsi="仿宋" w:eastAsia="仿宋" w:cs="Courier New"/>
                <w:sz w:val="24"/>
              </w:rPr>
            </w:pPr>
            <w:r>
              <w:rPr>
                <w:rFonts w:hint="eastAsia" w:ascii="仿宋" w:hAnsi="仿宋" w:eastAsia="仿宋" w:cs="Courier New"/>
                <w:sz w:val="24"/>
              </w:rPr>
              <w:t>职务/职称</w:t>
            </w:r>
          </w:p>
        </w:tc>
        <w:tc>
          <w:tcPr>
            <w:tcW w:w="2763" w:type="dxa"/>
          </w:tcPr>
          <w:p>
            <w:pPr>
              <w:spacing w:line="400" w:lineRule="exact"/>
              <w:jc w:val="center"/>
              <w:rPr>
                <w:rFonts w:ascii="仿宋" w:hAnsi="仿宋" w:eastAsia="仿宋" w:cs="Courier New"/>
                <w:sz w:val="24"/>
              </w:rPr>
            </w:pPr>
            <w:r>
              <w:rPr>
                <w:rFonts w:hint="eastAsia" w:ascii="仿宋" w:hAnsi="仿宋" w:eastAsia="仿宋" w:cs="Courier New"/>
                <w:sz w:val="24"/>
              </w:rPr>
              <w:t>工作单位</w:t>
            </w:r>
          </w:p>
        </w:tc>
        <w:tc>
          <w:tcPr>
            <w:tcW w:w="2319" w:type="dxa"/>
          </w:tcPr>
          <w:p>
            <w:pPr>
              <w:spacing w:line="400" w:lineRule="exact"/>
              <w:jc w:val="center"/>
              <w:rPr>
                <w:rFonts w:ascii="仿宋" w:hAnsi="仿宋" w:eastAsia="仿宋" w:cs="Courier New"/>
                <w:sz w:val="24"/>
              </w:rPr>
            </w:pPr>
            <w:r>
              <w:rPr>
                <w:rFonts w:hint="eastAsia" w:ascii="仿宋" w:hAnsi="仿宋" w:eastAsia="仿宋"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张静</w:t>
            </w:r>
          </w:p>
        </w:tc>
        <w:tc>
          <w:tcPr>
            <w:tcW w:w="812"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女</w:t>
            </w:r>
          </w:p>
        </w:tc>
        <w:tc>
          <w:tcPr>
            <w:tcW w:w="1700"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无/副教授</w:t>
            </w:r>
          </w:p>
        </w:tc>
        <w:tc>
          <w:tcPr>
            <w:tcW w:w="2763"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山西农业大学</w:t>
            </w:r>
          </w:p>
        </w:tc>
        <w:tc>
          <w:tcPr>
            <w:tcW w:w="2319" w:type="dxa"/>
          </w:tcPr>
          <w:p>
            <w:pPr>
              <w:spacing w:line="400" w:lineRule="exact"/>
              <w:jc w:val="center"/>
              <w:rPr>
                <w:rFonts w:hint="default" w:ascii="仿宋" w:hAnsi="仿宋" w:eastAsia="仿宋" w:cs="Courier New"/>
                <w:sz w:val="24"/>
                <w:lang w:val="en-US" w:eastAsia="zh-CN"/>
              </w:rPr>
            </w:pPr>
            <w:r>
              <w:rPr>
                <w:rFonts w:hint="eastAsia" w:ascii="仿宋" w:hAnsi="仿宋" w:eastAsia="仿宋" w:cs="Courier New"/>
                <w:sz w:val="24"/>
                <w:lang w:val="en-US" w:eastAsia="zh-CN"/>
              </w:rPr>
              <w:t>标准修订负责人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Courier New"/>
                <w:kern w:val="2"/>
                <w:sz w:val="24"/>
                <w:szCs w:val="24"/>
                <w:lang w:val="en-US" w:eastAsia="zh-CN" w:bidi="ar-SA"/>
              </w:rPr>
            </w:pPr>
            <w:r>
              <w:rPr>
                <w:rFonts w:hint="eastAsia" w:ascii="仿宋" w:hAnsi="仿宋" w:eastAsia="仿宋" w:cs="Courier New"/>
                <w:sz w:val="24"/>
                <w:lang w:val="en-US" w:eastAsia="zh-CN"/>
              </w:rPr>
              <w:t>张卫国</w:t>
            </w:r>
          </w:p>
        </w:tc>
        <w:tc>
          <w:tcPr>
            <w:tcW w:w="812" w:type="dxa"/>
            <w:vAlign w:val="top"/>
          </w:tcPr>
          <w:p>
            <w:pPr>
              <w:spacing w:line="400" w:lineRule="exact"/>
              <w:jc w:val="center"/>
              <w:rPr>
                <w:rFonts w:hint="eastAsia" w:ascii="仿宋" w:hAnsi="仿宋" w:eastAsia="仿宋" w:cs="Courier New"/>
                <w:kern w:val="2"/>
                <w:sz w:val="24"/>
                <w:szCs w:val="24"/>
                <w:lang w:val="en-US" w:eastAsia="zh-CN" w:bidi="ar-SA"/>
              </w:rPr>
            </w:pPr>
            <w:r>
              <w:rPr>
                <w:rFonts w:hint="eastAsia" w:ascii="仿宋" w:hAnsi="仿宋" w:eastAsia="仿宋" w:cs="Courier New"/>
                <w:sz w:val="24"/>
                <w:lang w:val="en-US" w:eastAsia="zh-CN"/>
              </w:rPr>
              <w:t>男</w:t>
            </w:r>
          </w:p>
        </w:tc>
        <w:tc>
          <w:tcPr>
            <w:tcW w:w="1700" w:type="dxa"/>
            <w:vAlign w:val="top"/>
          </w:tcPr>
          <w:p>
            <w:pPr>
              <w:spacing w:line="400" w:lineRule="exact"/>
              <w:jc w:val="center"/>
              <w:rPr>
                <w:rFonts w:hint="eastAsia" w:ascii="仿宋" w:hAnsi="仿宋" w:eastAsia="仿宋" w:cs="Courier New"/>
                <w:kern w:val="2"/>
                <w:sz w:val="24"/>
                <w:szCs w:val="24"/>
                <w:lang w:val="en-US" w:eastAsia="zh-CN" w:bidi="ar-SA"/>
              </w:rPr>
            </w:pPr>
            <w:r>
              <w:rPr>
                <w:rFonts w:hint="eastAsia" w:ascii="仿宋" w:hAnsi="仿宋" w:eastAsia="仿宋" w:cs="Courier New"/>
                <w:sz w:val="24"/>
                <w:lang w:val="en-US" w:eastAsia="zh-CN"/>
              </w:rPr>
              <w:t>无/</w:t>
            </w:r>
            <w:r>
              <w:rPr>
                <w:rFonts w:hint="default" w:ascii="仿宋" w:hAnsi="仿宋" w:eastAsia="仿宋" w:cs="Courier New"/>
                <w:sz w:val="24"/>
                <w:lang w:val="en-US" w:eastAsia="zh-CN"/>
              </w:rPr>
              <w:t>农艺师</w:t>
            </w:r>
          </w:p>
        </w:tc>
        <w:tc>
          <w:tcPr>
            <w:tcW w:w="2763" w:type="dxa"/>
            <w:vAlign w:val="top"/>
          </w:tcPr>
          <w:p>
            <w:pPr>
              <w:spacing w:line="400" w:lineRule="exact"/>
              <w:jc w:val="center"/>
              <w:rPr>
                <w:rFonts w:hint="eastAsia" w:ascii="仿宋" w:hAnsi="仿宋" w:eastAsia="仿宋" w:cs="Courier New"/>
                <w:kern w:val="2"/>
                <w:sz w:val="24"/>
                <w:szCs w:val="24"/>
                <w:lang w:val="en-US" w:eastAsia="zh-CN" w:bidi="ar-SA"/>
              </w:rPr>
            </w:pPr>
            <w:r>
              <w:rPr>
                <w:rFonts w:hint="default" w:ascii="仿宋" w:hAnsi="仿宋" w:eastAsia="仿宋" w:cs="Courier New"/>
                <w:sz w:val="24"/>
                <w:lang w:val="en-US" w:eastAsia="zh-CN"/>
              </w:rPr>
              <w:t>新绛县蔬菜发展中心</w:t>
            </w:r>
          </w:p>
        </w:tc>
        <w:tc>
          <w:tcPr>
            <w:tcW w:w="2319" w:type="dxa"/>
            <w:vAlign w:val="top"/>
          </w:tcPr>
          <w:p>
            <w:pPr>
              <w:spacing w:line="400" w:lineRule="exact"/>
              <w:jc w:val="center"/>
              <w:rPr>
                <w:rFonts w:hint="eastAsia" w:ascii="仿宋" w:hAnsi="仿宋" w:eastAsia="仿宋" w:cs="Courier New"/>
                <w:kern w:val="2"/>
                <w:sz w:val="24"/>
                <w:szCs w:val="24"/>
                <w:highlight w:val="yellow"/>
                <w:lang w:val="en-US" w:eastAsia="zh-CN" w:bidi="ar-SA"/>
              </w:rPr>
            </w:pPr>
            <w:r>
              <w:rPr>
                <w:rFonts w:hint="eastAsia" w:ascii="仿宋" w:hAnsi="仿宋" w:eastAsia="仿宋" w:cs="Courier New"/>
                <w:sz w:val="24"/>
                <w:highlight w:val="none"/>
                <w:lang w:val="en-US" w:eastAsia="zh-CN"/>
              </w:rPr>
              <w:t>品种选择的修订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77" w:type="dxa"/>
            <w:vAlign w:val="center"/>
          </w:tcPr>
          <w:p>
            <w:pPr>
              <w:spacing w:line="400" w:lineRule="exact"/>
              <w:jc w:val="center"/>
              <w:rPr>
                <w:rFonts w:hint="default" w:ascii="仿宋" w:hAnsi="仿宋" w:eastAsia="仿宋" w:cs="Courier New"/>
                <w:sz w:val="24"/>
                <w:lang w:val="en-US" w:eastAsia="zh-CN"/>
              </w:rPr>
            </w:pPr>
            <w:r>
              <w:rPr>
                <w:rFonts w:hint="eastAsia" w:ascii="仿宋" w:hAnsi="仿宋" w:eastAsia="仿宋" w:cs="Courier New"/>
                <w:sz w:val="24"/>
                <w:lang w:val="en-US" w:eastAsia="zh-CN"/>
              </w:rPr>
              <w:t>李云霞</w:t>
            </w:r>
          </w:p>
        </w:tc>
        <w:tc>
          <w:tcPr>
            <w:tcW w:w="812" w:type="dxa"/>
            <w:vAlign w:val="center"/>
          </w:tcPr>
          <w:p>
            <w:pPr>
              <w:spacing w:line="400" w:lineRule="exact"/>
              <w:jc w:val="center"/>
              <w:rPr>
                <w:rFonts w:hint="eastAsia" w:ascii="仿宋" w:hAnsi="仿宋" w:eastAsia="仿宋" w:cs="Courier New"/>
                <w:kern w:val="2"/>
                <w:sz w:val="24"/>
                <w:szCs w:val="24"/>
                <w:lang w:val="en-US" w:eastAsia="zh-CN" w:bidi="ar-SA"/>
              </w:rPr>
            </w:pPr>
            <w:r>
              <w:rPr>
                <w:rFonts w:hint="eastAsia" w:ascii="仿宋" w:hAnsi="仿宋" w:eastAsia="仿宋" w:cs="Courier New"/>
                <w:sz w:val="24"/>
                <w:lang w:val="en-US" w:eastAsia="zh-CN"/>
              </w:rPr>
              <w:t>女</w:t>
            </w:r>
          </w:p>
        </w:tc>
        <w:tc>
          <w:tcPr>
            <w:tcW w:w="1700" w:type="dxa"/>
            <w:vAlign w:val="center"/>
          </w:tcPr>
          <w:p>
            <w:pPr>
              <w:spacing w:line="400" w:lineRule="exact"/>
              <w:jc w:val="center"/>
              <w:rPr>
                <w:rFonts w:hint="eastAsia" w:ascii="仿宋" w:hAnsi="仿宋" w:eastAsia="仿宋" w:cs="Courier New"/>
                <w:kern w:val="2"/>
                <w:sz w:val="24"/>
                <w:szCs w:val="24"/>
                <w:lang w:val="en-US" w:eastAsia="zh-CN" w:bidi="ar-SA"/>
              </w:rPr>
            </w:pPr>
          </w:p>
        </w:tc>
        <w:tc>
          <w:tcPr>
            <w:tcW w:w="2763" w:type="dxa"/>
            <w:vAlign w:val="center"/>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左云县鹊儿山镇</w:t>
            </w:r>
          </w:p>
          <w:p>
            <w:pPr>
              <w:spacing w:line="400" w:lineRule="exact"/>
              <w:jc w:val="center"/>
              <w:rPr>
                <w:rFonts w:hint="eastAsia" w:ascii="仿宋" w:hAnsi="仿宋" w:eastAsia="仿宋" w:cs="Courier New"/>
                <w:kern w:val="2"/>
                <w:sz w:val="24"/>
                <w:szCs w:val="24"/>
                <w:lang w:val="en-US" w:eastAsia="zh-CN" w:bidi="ar-SA"/>
              </w:rPr>
            </w:pPr>
            <w:r>
              <w:rPr>
                <w:rFonts w:hint="eastAsia" w:ascii="仿宋" w:hAnsi="仿宋" w:eastAsia="仿宋" w:cs="Courier New"/>
                <w:sz w:val="24"/>
                <w:lang w:val="en-US" w:eastAsia="zh-CN"/>
              </w:rPr>
              <w:t>便民服务中心</w:t>
            </w:r>
          </w:p>
        </w:tc>
        <w:tc>
          <w:tcPr>
            <w:tcW w:w="2319" w:type="dxa"/>
            <w:vAlign w:val="center"/>
          </w:tcPr>
          <w:p>
            <w:pPr>
              <w:spacing w:line="400" w:lineRule="exact"/>
              <w:jc w:val="center"/>
              <w:rPr>
                <w:rFonts w:hint="eastAsia" w:ascii="仿宋" w:hAnsi="仿宋" w:eastAsia="仿宋" w:cs="Courier New"/>
                <w:kern w:val="2"/>
                <w:sz w:val="24"/>
                <w:szCs w:val="24"/>
                <w:lang w:val="en-US" w:eastAsia="zh-CN" w:bidi="ar-SA"/>
              </w:rPr>
            </w:pPr>
            <w:r>
              <w:rPr>
                <w:rFonts w:hint="eastAsia" w:ascii="仿宋" w:hAnsi="仿宋" w:eastAsia="仿宋" w:cs="Courier New"/>
                <w:sz w:val="24"/>
                <w:lang w:val="en-US" w:eastAsia="zh-CN"/>
              </w:rPr>
              <w:t>调研考察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Courier New"/>
                <w:kern w:val="2"/>
                <w:sz w:val="24"/>
                <w:szCs w:val="24"/>
                <w:lang w:val="en-US" w:eastAsia="zh-CN" w:bidi="ar-SA"/>
              </w:rPr>
            </w:pPr>
            <w:r>
              <w:rPr>
                <w:rFonts w:hint="eastAsia" w:ascii="仿宋" w:hAnsi="仿宋" w:eastAsia="仿宋" w:cs="Courier New"/>
                <w:sz w:val="24"/>
                <w:lang w:val="en-US" w:eastAsia="zh-CN"/>
              </w:rPr>
              <w:t>宋红霞</w:t>
            </w:r>
          </w:p>
        </w:tc>
        <w:tc>
          <w:tcPr>
            <w:tcW w:w="812" w:type="dxa"/>
            <w:vAlign w:val="top"/>
          </w:tcPr>
          <w:p>
            <w:pPr>
              <w:spacing w:line="400" w:lineRule="exact"/>
              <w:jc w:val="center"/>
              <w:rPr>
                <w:rFonts w:hint="eastAsia" w:ascii="仿宋" w:hAnsi="仿宋" w:eastAsia="仿宋" w:cs="Courier New"/>
                <w:kern w:val="2"/>
                <w:sz w:val="24"/>
                <w:szCs w:val="24"/>
                <w:lang w:val="en-US" w:eastAsia="zh-CN" w:bidi="ar-SA"/>
              </w:rPr>
            </w:pPr>
            <w:r>
              <w:rPr>
                <w:rFonts w:hint="eastAsia" w:ascii="仿宋" w:hAnsi="仿宋" w:eastAsia="仿宋" w:cs="Courier New"/>
                <w:sz w:val="24"/>
                <w:lang w:val="en-US" w:eastAsia="zh-CN"/>
              </w:rPr>
              <w:t>女</w:t>
            </w:r>
          </w:p>
        </w:tc>
        <w:tc>
          <w:tcPr>
            <w:tcW w:w="1700" w:type="dxa"/>
            <w:vAlign w:val="top"/>
          </w:tcPr>
          <w:p>
            <w:pPr>
              <w:spacing w:line="400" w:lineRule="exact"/>
              <w:jc w:val="center"/>
              <w:rPr>
                <w:rFonts w:hint="eastAsia" w:ascii="仿宋" w:hAnsi="仿宋" w:eastAsia="仿宋" w:cs="Courier New"/>
                <w:kern w:val="2"/>
                <w:sz w:val="24"/>
                <w:szCs w:val="24"/>
                <w:lang w:val="en-US" w:eastAsia="zh-CN" w:bidi="ar-SA"/>
              </w:rPr>
            </w:pPr>
            <w:r>
              <w:rPr>
                <w:rFonts w:hint="eastAsia" w:ascii="仿宋" w:hAnsi="仿宋" w:eastAsia="仿宋" w:cs="Courier New"/>
                <w:sz w:val="24"/>
                <w:lang w:val="en-US" w:eastAsia="zh-CN"/>
              </w:rPr>
              <w:t>无/副教授</w:t>
            </w:r>
          </w:p>
        </w:tc>
        <w:tc>
          <w:tcPr>
            <w:tcW w:w="2763" w:type="dxa"/>
            <w:vAlign w:val="top"/>
          </w:tcPr>
          <w:p>
            <w:pPr>
              <w:spacing w:line="400" w:lineRule="exact"/>
              <w:jc w:val="center"/>
              <w:rPr>
                <w:rFonts w:hint="eastAsia" w:ascii="仿宋" w:hAnsi="仿宋" w:eastAsia="仿宋" w:cs="Courier New"/>
                <w:kern w:val="2"/>
                <w:sz w:val="24"/>
                <w:szCs w:val="24"/>
                <w:lang w:val="en-US" w:eastAsia="zh-CN" w:bidi="ar-SA"/>
              </w:rPr>
            </w:pPr>
            <w:r>
              <w:rPr>
                <w:rFonts w:hint="eastAsia" w:ascii="仿宋" w:hAnsi="仿宋" w:eastAsia="仿宋" w:cs="Courier New"/>
                <w:sz w:val="24"/>
                <w:lang w:val="en-US" w:eastAsia="zh-CN"/>
              </w:rPr>
              <w:t>山西农业大学</w:t>
            </w:r>
          </w:p>
        </w:tc>
        <w:tc>
          <w:tcPr>
            <w:tcW w:w="2319" w:type="dxa"/>
            <w:vAlign w:val="top"/>
          </w:tcPr>
          <w:p>
            <w:pPr>
              <w:spacing w:line="400" w:lineRule="exact"/>
              <w:jc w:val="center"/>
              <w:rPr>
                <w:rFonts w:hint="default" w:ascii="仿宋" w:hAnsi="仿宋" w:eastAsia="仿宋" w:cs="Courier New"/>
                <w:kern w:val="2"/>
                <w:sz w:val="24"/>
                <w:szCs w:val="24"/>
                <w:highlight w:val="yellow"/>
                <w:lang w:val="en-US" w:eastAsia="zh-CN" w:bidi="ar-SA"/>
              </w:rPr>
            </w:pPr>
            <w:r>
              <w:rPr>
                <w:rFonts w:hint="eastAsia" w:ascii="仿宋" w:hAnsi="仿宋" w:eastAsia="仿宋" w:cs="Courier New"/>
                <w:sz w:val="24"/>
                <w:highlight w:val="none"/>
                <w:lang w:val="en-US" w:eastAsia="zh-CN"/>
              </w:rPr>
              <w:t>育苗技术的修订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李梅兰</w:t>
            </w:r>
          </w:p>
        </w:tc>
        <w:tc>
          <w:tcPr>
            <w:tcW w:w="812"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女</w:t>
            </w:r>
          </w:p>
        </w:tc>
        <w:tc>
          <w:tcPr>
            <w:tcW w:w="1700"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无/教授</w:t>
            </w:r>
          </w:p>
        </w:tc>
        <w:tc>
          <w:tcPr>
            <w:tcW w:w="2763"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山西农业大学</w:t>
            </w:r>
          </w:p>
        </w:tc>
        <w:tc>
          <w:tcPr>
            <w:tcW w:w="2319" w:type="dxa"/>
          </w:tcPr>
          <w:p>
            <w:pPr>
              <w:spacing w:line="400" w:lineRule="exact"/>
              <w:jc w:val="center"/>
              <w:rPr>
                <w:rFonts w:hint="default" w:ascii="仿宋" w:hAnsi="仿宋" w:eastAsia="仿宋" w:cs="Courier New"/>
                <w:sz w:val="24"/>
                <w:lang w:val="en-US" w:eastAsia="zh-CN"/>
              </w:rPr>
            </w:pPr>
            <w:r>
              <w:rPr>
                <w:rFonts w:hint="eastAsia" w:ascii="仿宋" w:hAnsi="仿宋" w:eastAsia="仿宋" w:cs="Courier New"/>
                <w:sz w:val="24"/>
                <w:lang w:val="en-US" w:eastAsia="zh-CN"/>
              </w:rPr>
              <w:t>调研考察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Courier New"/>
                <w:sz w:val="24"/>
                <w:lang w:val="en-US" w:eastAsia="zh-CN"/>
              </w:rPr>
            </w:pPr>
          </w:p>
        </w:tc>
        <w:tc>
          <w:tcPr>
            <w:tcW w:w="812" w:type="dxa"/>
            <w:vAlign w:val="top"/>
          </w:tcPr>
          <w:p>
            <w:pPr>
              <w:spacing w:line="400" w:lineRule="exact"/>
              <w:jc w:val="center"/>
              <w:rPr>
                <w:rFonts w:hint="eastAsia" w:ascii="仿宋" w:hAnsi="仿宋" w:eastAsia="仿宋" w:cs="Courier New"/>
                <w:sz w:val="24"/>
                <w:lang w:val="en-US" w:eastAsia="zh-CN"/>
              </w:rPr>
            </w:pPr>
          </w:p>
        </w:tc>
        <w:tc>
          <w:tcPr>
            <w:tcW w:w="1700" w:type="dxa"/>
            <w:vAlign w:val="top"/>
          </w:tcPr>
          <w:p>
            <w:pPr>
              <w:spacing w:line="400" w:lineRule="exact"/>
              <w:jc w:val="center"/>
              <w:rPr>
                <w:rFonts w:hint="eastAsia" w:ascii="仿宋" w:hAnsi="仿宋" w:eastAsia="仿宋" w:cs="Courier New"/>
                <w:sz w:val="24"/>
                <w:lang w:val="en-US" w:eastAsia="zh-CN"/>
              </w:rPr>
            </w:pPr>
          </w:p>
        </w:tc>
        <w:tc>
          <w:tcPr>
            <w:tcW w:w="2763" w:type="dxa"/>
            <w:vAlign w:val="top"/>
          </w:tcPr>
          <w:p>
            <w:pPr>
              <w:spacing w:line="400" w:lineRule="exact"/>
              <w:jc w:val="center"/>
              <w:rPr>
                <w:rFonts w:hint="eastAsia" w:ascii="仿宋" w:hAnsi="仿宋" w:eastAsia="仿宋" w:cs="Courier New"/>
                <w:sz w:val="24"/>
                <w:lang w:val="en-US" w:eastAsia="zh-CN"/>
              </w:rPr>
            </w:pPr>
          </w:p>
        </w:tc>
        <w:tc>
          <w:tcPr>
            <w:tcW w:w="2319" w:type="dxa"/>
          </w:tcPr>
          <w:p>
            <w:pPr>
              <w:spacing w:line="400" w:lineRule="exact"/>
              <w:jc w:val="center"/>
              <w:rPr>
                <w:rFonts w:hint="eastAsia" w:ascii="仿宋" w:hAnsi="仿宋" w:eastAsia="仿宋" w:cs="Courier New"/>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77"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郑少文</w:t>
            </w:r>
          </w:p>
        </w:tc>
        <w:tc>
          <w:tcPr>
            <w:tcW w:w="812"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男</w:t>
            </w:r>
          </w:p>
        </w:tc>
        <w:tc>
          <w:tcPr>
            <w:tcW w:w="1700"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无/副教授</w:t>
            </w:r>
          </w:p>
        </w:tc>
        <w:tc>
          <w:tcPr>
            <w:tcW w:w="2763"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山西农业大学</w:t>
            </w:r>
          </w:p>
        </w:tc>
        <w:tc>
          <w:tcPr>
            <w:tcW w:w="2319" w:type="dxa"/>
          </w:tcPr>
          <w:p>
            <w:pPr>
              <w:spacing w:line="400" w:lineRule="exact"/>
              <w:jc w:val="center"/>
              <w:rPr>
                <w:rFonts w:hint="default" w:ascii="仿宋" w:hAnsi="仿宋" w:eastAsia="仿宋" w:cs="Courier New"/>
                <w:sz w:val="24"/>
                <w:highlight w:val="yellow"/>
                <w:lang w:val="en-US" w:eastAsia="zh-CN"/>
              </w:rPr>
            </w:pPr>
            <w:r>
              <w:rPr>
                <w:rFonts w:hint="eastAsia" w:ascii="仿宋" w:hAnsi="仿宋" w:eastAsia="仿宋" w:cs="Courier New"/>
                <w:sz w:val="24"/>
                <w:highlight w:val="none"/>
                <w:lang w:val="en-US" w:eastAsia="zh-CN"/>
              </w:rPr>
              <w:t>术语的修订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王军娥</w:t>
            </w:r>
          </w:p>
        </w:tc>
        <w:tc>
          <w:tcPr>
            <w:tcW w:w="812"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女</w:t>
            </w:r>
          </w:p>
        </w:tc>
        <w:tc>
          <w:tcPr>
            <w:tcW w:w="1700"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无/副教授</w:t>
            </w:r>
          </w:p>
        </w:tc>
        <w:tc>
          <w:tcPr>
            <w:tcW w:w="2763"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山西农业大学</w:t>
            </w:r>
          </w:p>
        </w:tc>
        <w:tc>
          <w:tcPr>
            <w:tcW w:w="2319" w:type="dxa"/>
          </w:tcPr>
          <w:p>
            <w:pPr>
              <w:spacing w:line="400" w:lineRule="exact"/>
              <w:jc w:val="center"/>
              <w:rPr>
                <w:rFonts w:hint="eastAsia" w:ascii="仿宋" w:hAnsi="仿宋" w:eastAsia="仿宋" w:cs="Courier New"/>
                <w:sz w:val="24"/>
                <w:highlight w:val="yellow"/>
              </w:rPr>
            </w:pPr>
            <w:r>
              <w:rPr>
                <w:rFonts w:hint="eastAsia" w:ascii="仿宋" w:hAnsi="仿宋" w:eastAsia="仿宋" w:cs="Courier New"/>
                <w:sz w:val="24"/>
                <w:highlight w:val="none"/>
                <w:lang w:val="en-US" w:eastAsia="zh-CN"/>
              </w:rPr>
              <w:t>壮苗指标的修订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侯雷平</w:t>
            </w:r>
          </w:p>
        </w:tc>
        <w:tc>
          <w:tcPr>
            <w:tcW w:w="812"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男</w:t>
            </w:r>
          </w:p>
        </w:tc>
        <w:tc>
          <w:tcPr>
            <w:tcW w:w="1700"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无/教授</w:t>
            </w:r>
          </w:p>
        </w:tc>
        <w:tc>
          <w:tcPr>
            <w:tcW w:w="2763"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山西农业大学</w:t>
            </w:r>
          </w:p>
        </w:tc>
        <w:tc>
          <w:tcPr>
            <w:tcW w:w="2319" w:type="dxa"/>
          </w:tcPr>
          <w:p>
            <w:pPr>
              <w:spacing w:line="400" w:lineRule="exact"/>
              <w:jc w:val="center"/>
              <w:rPr>
                <w:rFonts w:hint="default" w:ascii="仿宋" w:hAnsi="仿宋" w:eastAsia="仿宋" w:cs="Courier New"/>
                <w:sz w:val="24"/>
                <w:lang w:val="en-US" w:eastAsia="zh-CN"/>
              </w:rPr>
            </w:pPr>
            <w:r>
              <w:rPr>
                <w:rFonts w:hint="eastAsia" w:ascii="仿宋" w:hAnsi="仿宋" w:eastAsia="仿宋" w:cs="Courier New"/>
                <w:sz w:val="24"/>
                <w:lang w:val="en-US" w:eastAsia="zh-CN"/>
              </w:rPr>
              <w:t>调研考察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7"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邢国明</w:t>
            </w:r>
          </w:p>
        </w:tc>
        <w:tc>
          <w:tcPr>
            <w:tcW w:w="812"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男</w:t>
            </w:r>
          </w:p>
        </w:tc>
        <w:tc>
          <w:tcPr>
            <w:tcW w:w="1700"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无/教授</w:t>
            </w:r>
          </w:p>
        </w:tc>
        <w:tc>
          <w:tcPr>
            <w:tcW w:w="2763" w:type="dxa"/>
            <w:vAlign w:val="top"/>
          </w:tcPr>
          <w:p>
            <w:pPr>
              <w:spacing w:line="400" w:lineRule="exact"/>
              <w:jc w:val="center"/>
              <w:rPr>
                <w:rFonts w:hint="eastAsia" w:ascii="仿宋" w:hAnsi="仿宋" w:eastAsia="仿宋" w:cs="Courier New"/>
                <w:sz w:val="24"/>
                <w:lang w:val="en-US" w:eastAsia="zh-CN"/>
              </w:rPr>
            </w:pPr>
            <w:r>
              <w:rPr>
                <w:rFonts w:hint="eastAsia" w:ascii="仿宋" w:hAnsi="仿宋" w:eastAsia="仿宋" w:cs="Courier New"/>
                <w:sz w:val="24"/>
                <w:lang w:val="en-US" w:eastAsia="zh-CN"/>
              </w:rPr>
              <w:t>山西农业大学</w:t>
            </w:r>
          </w:p>
        </w:tc>
        <w:tc>
          <w:tcPr>
            <w:tcW w:w="2319" w:type="dxa"/>
          </w:tcPr>
          <w:p>
            <w:pPr>
              <w:spacing w:line="400" w:lineRule="exact"/>
              <w:jc w:val="center"/>
              <w:rPr>
                <w:rFonts w:hint="default" w:ascii="仿宋" w:hAnsi="仿宋" w:eastAsia="仿宋" w:cs="Courier New"/>
                <w:sz w:val="24"/>
                <w:lang w:val="en-US" w:eastAsia="zh-CN"/>
              </w:rPr>
            </w:pPr>
            <w:r>
              <w:rPr>
                <w:rFonts w:hint="eastAsia" w:ascii="仿宋" w:hAnsi="仿宋" w:eastAsia="仿宋" w:cs="Courier New"/>
                <w:sz w:val="24"/>
                <w:lang w:val="en-US" w:eastAsia="zh-CN"/>
              </w:rPr>
              <w:t>调研考察</w:t>
            </w:r>
          </w:p>
        </w:tc>
      </w:tr>
    </w:tbl>
    <w:p>
      <w:pPr>
        <w:keepNext w:val="0"/>
        <w:keepLines w:val="0"/>
        <w:pageBreakBefore w:val="0"/>
        <w:widowControl w:val="0"/>
        <w:kinsoku/>
        <w:wordWrap/>
        <w:overflowPunct/>
        <w:topLinePunct w:val="0"/>
        <w:autoSpaceDE/>
        <w:autoSpaceDN/>
        <w:bidi w:val="0"/>
        <w:adjustRightInd/>
        <w:snapToGrid/>
        <w:spacing w:before="161" w:beforeLines="50" w:line="360" w:lineRule="auto"/>
        <w:ind w:firstLine="480" w:firstLineChars="200"/>
        <w:textAlignment w:val="auto"/>
        <w:outlineLvl w:val="0"/>
        <w:rPr>
          <w:rFonts w:ascii="楷体" w:hAnsi="楷体" w:eastAsia="楷体" w:cs="Courier New"/>
          <w:sz w:val="28"/>
          <w:szCs w:val="28"/>
          <w:highlight w:val="none"/>
        </w:rPr>
      </w:pPr>
      <w:r>
        <w:rPr>
          <w:rFonts w:ascii="黑体" w:eastAsia="黑体"/>
          <w:sz w:val="24"/>
          <w:highlight w:val="none"/>
        </w:rPr>
        <w:t>二、</w:t>
      </w:r>
      <w:r>
        <w:rPr>
          <w:rFonts w:hint="eastAsia" w:ascii="黑体" w:eastAsia="黑体"/>
          <w:sz w:val="24"/>
          <w:highlight w:val="none"/>
        </w:rPr>
        <w:t>修</w:t>
      </w:r>
      <w:r>
        <w:rPr>
          <w:rFonts w:ascii="黑体" w:eastAsia="黑体"/>
          <w:sz w:val="24"/>
          <w:highlight w:val="none"/>
        </w:rPr>
        <w:t>订标准的必要性和意义</w:t>
      </w:r>
    </w:p>
    <w:p>
      <w:pPr>
        <w:spacing w:line="360" w:lineRule="auto"/>
        <w:ind w:firstLine="480" w:firstLineChars="200"/>
        <w:rPr>
          <w:rFonts w:hint="eastAsia" w:ascii="仿宋_GB2312" w:hAnsi="仿宋" w:eastAsia="仿宋_GB2312" w:cs="Times New Roman"/>
          <w:sz w:val="24"/>
          <w:szCs w:val="24"/>
          <w:lang w:val="en-US" w:eastAsia="zh-CN"/>
        </w:rPr>
      </w:pPr>
      <w:r>
        <w:rPr>
          <w:rFonts w:hint="eastAsia" w:ascii="仿宋_GB2312" w:hAnsi="仿宋" w:eastAsia="仿宋_GB2312" w:cs="Times New Roman"/>
          <w:sz w:val="24"/>
          <w:szCs w:val="24"/>
          <w:lang w:val="en-US" w:eastAsia="zh-CN"/>
        </w:rPr>
        <w:t>山西省是《全国蔬菜产业发展规划（2011-2020年）》划定的黄淮海及环渤海设施蔬菜重点区和黄土高原夏秋蔬菜优势区。2023年全省蔬菜播种面积340.6万亩，主要包括番茄、辣椒、茄子、黄瓜、西葫芦、西瓜、甜瓜等，全省蔬菜种苗年需求量超过130亿株。</w:t>
      </w:r>
    </w:p>
    <w:p>
      <w:pPr>
        <w:spacing w:line="360" w:lineRule="auto"/>
        <w:ind w:firstLine="480" w:firstLineChars="200"/>
        <w:rPr>
          <w:rFonts w:ascii="黑体" w:eastAsia="黑体"/>
          <w:sz w:val="24"/>
          <w:highlight w:val="none"/>
        </w:rPr>
      </w:pPr>
      <w:r>
        <w:rPr>
          <w:rFonts w:hint="default" w:ascii="仿宋_GB2312" w:hAnsi="仿宋" w:eastAsia="仿宋_GB2312" w:cs="Times New Roman"/>
          <w:sz w:val="24"/>
          <w:szCs w:val="24"/>
          <w:lang w:val="en-US" w:eastAsia="zh-CN"/>
        </w:rPr>
        <w:t>二氧化碳是植物进行光合作用的重要物质基础。空气中二氧化碳的浓度远远不能满足蔬菜优质种苗的生产需求，日光温室相对密闭的环境使二氧化碳施肥成为可能，通过优化温室内的温光环境，施用合适浓度的二氧化碳能够促进果菜类蔬菜种苗的生长，</w:t>
      </w:r>
      <w:r>
        <w:rPr>
          <w:rFonts w:hint="eastAsia" w:ascii="仿宋_GB2312" w:hAnsi="仿宋" w:eastAsia="仿宋_GB2312" w:cs="Times New Roman"/>
          <w:sz w:val="24"/>
          <w:szCs w:val="24"/>
          <w:lang w:val="en-US" w:eastAsia="zh-CN"/>
        </w:rPr>
        <w:t>增加干物质积累，从而提高秧苗质量；另外，</w:t>
      </w:r>
      <w:r>
        <w:rPr>
          <w:rFonts w:hint="default" w:ascii="仿宋_GB2312" w:hAnsi="仿宋" w:eastAsia="仿宋_GB2312" w:cs="Times New Roman"/>
          <w:sz w:val="24"/>
          <w:szCs w:val="24"/>
          <w:lang w:val="en-US" w:eastAsia="zh-CN"/>
        </w:rPr>
        <w:t>施用合适浓度的二氧化碳</w:t>
      </w:r>
      <w:r>
        <w:rPr>
          <w:rFonts w:hint="eastAsia" w:ascii="仿宋_GB2312" w:hAnsi="仿宋" w:eastAsia="仿宋_GB2312" w:cs="Times New Roman"/>
          <w:sz w:val="24"/>
          <w:szCs w:val="24"/>
          <w:lang w:val="en-US" w:eastAsia="zh-CN"/>
        </w:rPr>
        <w:t>能够缩短苗期，</w:t>
      </w:r>
      <w:r>
        <w:rPr>
          <w:rFonts w:hint="default" w:ascii="仿宋_GB2312" w:hAnsi="仿宋" w:eastAsia="仿宋_GB2312" w:cs="Times New Roman"/>
          <w:sz w:val="24"/>
          <w:szCs w:val="24"/>
          <w:lang w:val="en-US" w:eastAsia="zh-CN"/>
        </w:rPr>
        <w:t>加速花芽分化的进程，增加单株的花芽数，进而促进果菜类蔬菜果实的早熟，增加果实产量。</w:t>
      </w:r>
      <w:r>
        <w:rPr>
          <w:rFonts w:hint="eastAsia" w:ascii="仿宋_GB2312" w:hAnsi="仿宋" w:eastAsia="仿宋_GB2312" w:cs="Times New Roman"/>
          <w:sz w:val="24"/>
          <w:szCs w:val="24"/>
          <w:lang w:val="en-US" w:eastAsia="zh-CN"/>
        </w:rPr>
        <w:t>如何规范果菜类蔬菜固碳育苗技术，使广大蔬菜种苗生产者有据可依，已成为我们亟待解决的一个突出问题。</w:t>
      </w:r>
    </w:p>
    <w:p>
      <w:pPr>
        <w:spacing w:line="360" w:lineRule="auto"/>
        <w:ind w:firstLine="480" w:firstLineChars="200"/>
        <w:outlineLvl w:val="0"/>
        <w:rPr>
          <w:rFonts w:ascii="黑体" w:eastAsia="黑体"/>
          <w:sz w:val="24"/>
          <w:highlight w:val="none"/>
        </w:rPr>
      </w:pPr>
      <w:r>
        <w:rPr>
          <w:rFonts w:ascii="黑体" w:eastAsia="黑体"/>
          <w:sz w:val="24"/>
          <w:highlight w:val="none"/>
        </w:rPr>
        <w:t>三、主要</w:t>
      </w:r>
      <w:r>
        <w:rPr>
          <w:rFonts w:hint="eastAsia" w:ascii="黑体" w:eastAsia="黑体"/>
          <w:sz w:val="24"/>
          <w:highlight w:val="none"/>
        </w:rPr>
        <w:t>修订</w:t>
      </w:r>
      <w:r>
        <w:rPr>
          <w:rFonts w:ascii="黑体" w:eastAsia="黑体"/>
          <w:sz w:val="24"/>
          <w:highlight w:val="none"/>
        </w:rPr>
        <w:t>工作过程</w:t>
      </w:r>
    </w:p>
    <w:p>
      <w:pPr>
        <w:spacing w:line="400" w:lineRule="exact"/>
        <w:ind w:firstLine="480" w:firstLineChars="200"/>
        <w:rPr>
          <w:rFonts w:eastAsia="仿宋_GB2312"/>
          <w:bCs/>
          <w:sz w:val="24"/>
        </w:rPr>
      </w:pPr>
      <w:r>
        <w:rPr>
          <w:rFonts w:hint="eastAsia" w:eastAsia="仿宋_GB2312"/>
          <w:bCs/>
          <w:sz w:val="24"/>
        </w:rPr>
        <w:t>1、成立标准修订工作组</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2022年10月，接到项目任务以后，我们积极组织技术骨干成立《果菜类蔬菜高效固碳育苗技术规程》修订工作组，工作组成员具有较丰富的专业知识和实践经验，熟悉业务，了解标准化工作的相关规定并具有较强的文字表达能力。工作组成立后，认真学习了《标准化工作导则的第1部分：标准化文件的结构和起草规则》（GB/T 1.1-2020）和相关的国家标准、行业标准与地方标准，制定工作计划，明确内部分工及进度要求，责任落实到人。主要起草人分别于2022年12月15日至2022年12月16日、2023年7月27日参加了山西省农业标准化委员会关于开展农业标准化专业知识培训，进一步明确了地方标准修订方法和技术要点。</w:t>
      </w:r>
    </w:p>
    <w:p>
      <w:pPr>
        <w:spacing w:line="400" w:lineRule="exact"/>
        <w:ind w:firstLine="480" w:firstLineChars="200"/>
        <w:rPr>
          <w:rFonts w:eastAsia="仿宋_GB2312"/>
          <w:bCs/>
          <w:sz w:val="24"/>
        </w:rPr>
      </w:pPr>
      <w:r>
        <w:rPr>
          <w:rFonts w:hint="eastAsia" w:eastAsia="仿宋_GB2312"/>
          <w:bCs/>
          <w:sz w:val="24"/>
        </w:rPr>
        <w:t>2、调研考察</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为了解目前果菜类蔬菜种苗的生产现状，标准修订组组织人员分赴省内运城、长治、临汾、吕梁、阳泉、晋中和忻州等多个地区进行深入调研，了解目前果菜类蔬菜育苗生产情况。</w:t>
      </w:r>
    </w:p>
    <w:p>
      <w:pPr>
        <w:spacing w:line="400" w:lineRule="exact"/>
        <w:ind w:firstLine="480" w:firstLineChars="200"/>
        <w:rPr>
          <w:rFonts w:eastAsia="仿宋_GB2312"/>
          <w:bCs/>
          <w:sz w:val="24"/>
        </w:rPr>
      </w:pPr>
      <w:r>
        <w:rPr>
          <w:rFonts w:hint="eastAsia" w:eastAsia="仿宋_GB2312"/>
          <w:bCs/>
          <w:sz w:val="24"/>
        </w:rPr>
        <w:t>3、收集资料</w:t>
      </w:r>
    </w:p>
    <w:p>
      <w:pPr>
        <w:spacing w:line="400" w:lineRule="exact"/>
        <w:ind w:firstLine="480" w:firstLineChars="200"/>
        <w:rPr>
          <w:rFonts w:ascii="仿宋_GB2312" w:hAnsi="宋体" w:eastAsia="仿宋_GB2312"/>
          <w:sz w:val="24"/>
        </w:rPr>
      </w:pPr>
      <w:r>
        <w:rPr>
          <w:rFonts w:hint="eastAsia" w:eastAsia="仿宋_GB2312"/>
          <w:bCs/>
          <w:sz w:val="24"/>
          <w:lang w:val="en-US" w:eastAsia="zh-CN"/>
        </w:rPr>
        <w:t>在深入调研和广泛听取相关部门和育苗场的意见和建议的基础上，掌握对果菜类蔬菜育苗技术要求的基础资料；收集有关果菜类蔬菜育苗过程中种苗品种选择、育苗技术、壮苗指标等国家、行业和地方标准。</w:t>
      </w:r>
    </w:p>
    <w:p>
      <w:pPr>
        <w:spacing w:line="400" w:lineRule="exact"/>
        <w:ind w:firstLine="480" w:firstLineChars="200"/>
        <w:rPr>
          <w:rFonts w:eastAsia="仿宋_GB2312"/>
          <w:bCs/>
          <w:sz w:val="24"/>
        </w:rPr>
      </w:pPr>
      <w:r>
        <w:rPr>
          <w:rFonts w:hint="eastAsia" w:eastAsia="仿宋_GB2312"/>
          <w:bCs/>
          <w:sz w:val="24"/>
        </w:rPr>
        <w:t>4、修订文本</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在上述基础上，结合项目组已有的试验数据，并经过充分讨论，于2024年1月中旬完成了“果菜类蔬菜高效固碳育苗技术规程”的修订初稿和编制说明。并将修订初稿发送至山西省园艺产业发展中心、山西省蔬菜产业技术体系相关专家、山西省检验检测中心、山西巨鑫伟业农业科技开发有限公司及及长子县丹西龙鑫农业科技有限公司征求意见。根据征求意见，起草小组经过进一步修改和完善，形成了征求意见稿。</w:t>
      </w:r>
    </w:p>
    <w:p>
      <w:pPr>
        <w:spacing w:line="400" w:lineRule="exact"/>
        <w:ind w:firstLine="480" w:firstLineChars="200"/>
        <w:rPr>
          <w:rFonts w:eastAsia="仿宋_GB2312"/>
          <w:bCs/>
          <w:sz w:val="24"/>
        </w:rPr>
      </w:pPr>
      <w:r>
        <w:rPr>
          <w:rFonts w:hint="eastAsia" w:eastAsia="仿宋_GB2312"/>
          <w:bCs/>
          <w:sz w:val="24"/>
        </w:rPr>
        <w:t>5、技术评审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eastAsia="仿宋_GB2312"/>
          <w:bCs/>
          <w:sz w:val="24"/>
          <w:lang w:val="en-US" w:eastAsia="zh-CN"/>
        </w:rPr>
      </w:pPr>
      <w:r>
        <w:rPr>
          <w:rFonts w:hint="eastAsia" w:eastAsia="仿宋_GB2312"/>
          <w:bCs/>
          <w:sz w:val="24"/>
          <w:lang w:val="en-US" w:eastAsia="zh-CN"/>
        </w:rPr>
        <w:t>2024年3月，山西省农业标准化委员会组织相关专家对标准文本和编制说明进行技术审查，对规程的内容、格式、条款等提出了修改意见。</w:t>
      </w:r>
    </w:p>
    <w:p>
      <w:pPr>
        <w:numPr>
          <w:ilvl w:val="0"/>
          <w:numId w:val="3"/>
        </w:numPr>
        <w:spacing w:line="400" w:lineRule="exact"/>
        <w:ind w:firstLine="480" w:firstLineChars="200"/>
        <w:rPr>
          <w:rFonts w:hint="eastAsia" w:eastAsia="仿宋_GB2312"/>
          <w:bCs/>
          <w:sz w:val="24"/>
          <w:highlight w:val="yellow"/>
          <w:lang w:val="en-US" w:eastAsia="zh-CN"/>
        </w:rPr>
      </w:pPr>
      <w:r>
        <w:rPr>
          <w:rFonts w:hint="eastAsia" w:eastAsia="仿宋_GB2312"/>
          <w:bCs/>
          <w:sz w:val="24"/>
          <w:highlight w:val="yellow"/>
          <w:lang w:val="en-US" w:eastAsia="zh-CN"/>
        </w:rPr>
        <w:t>征求意见</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eastAsia="仿宋_GB2312"/>
          <w:bCs/>
          <w:sz w:val="24"/>
          <w:lang w:val="en-US" w:eastAsia="zh-CN"/>
        </w:rPr>
      </w:pPr>
      <w:r>
        <w:rPr>
          <w:rFonts w:hint="eastAsia" w:eastAsia="仿宋_GB2312"/>
          <w:bCs/>
          <w:sz w:val="24"/>
          <w:lang w:val="en-US" w:eastAsia="zh-CN"/>
        </w:rPr>
        <w:t>2024年  月  日报省市场监督管理局挂网向社会公开征求意见1个月。</w:t>
      </w:r>
    </w:p>
    <w:p>
      <w:pPr>
        <w:numPr>
          <w:ilvl w:val="0"/>
          <w:numId w:val="3"/>
        </w:numPr>
        <w:spacing w:line="400" w:lineRule="exact"/>
        <w:ind w:firstLine="480" w:firstLineChars="200"/>
        <w:rPr>
          <w:rFonts w:hint="default" w:eastAsia="仿宋_GB2312"/>
          <w:bCs/>
          <w:sz w:val="24"/>
          <w:highlight w:val="yellow"/>
          <w:lang w:val="en-US" w:eastAsia="zh-CN"/>
        </w:rPr>
      </w:pPr>
      <w:r>
        <w:rPr>
          <w:rFonts w:hint="eastAsia" w:eastAsia="仿宋_GB2312"/>
          <w:bCs/>
          <w:sz w:val="24"/>
          <w:highlight w:val="yellow"/>
          <w:lang w:val="en-US" w:eastAsia="zh-CN"/>
        </w:rPr>
        <w:t>完善文本</w:t>
      </w:r>
    </w:p>
    <w:p>
      <w:pPr>
        <w:numPr>
          <w:ilvl w:val="0"/>
          <w:numId w:val="0"/>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2024年**月**日，修订小组在吸纳专家意见的基础上，经过补充修改，形成送审稿。</w:t>
      </w:r>
    </w:p>
    <w:p>
      <w:pPr>
        <w:numPr>
          <w:ilvl w:val="0"/>
          <w:numId w:val="3"/>
        </w:numPr>
        <w:spacing w:line="400" w:lineRule="exact"/>
        <w:ind w:firstLine="480" w:firstLineChars="200"/>
        <w:rPr>
          <w:rFonts w:hint="default" w:eastAsia="仿宋_GB2312"/>
          <w:bCs/>
          <w:sz w:val="24"/>
          <w:highlight w:val="yellow"/>
          <w:lang w:val="en-US" w:eastAsia="zh-CN"/>
        </w:rPr>
      </w:pPr>
      <w:r>
        <w:rPr>
          <w:rFonts w:hint="eastAsia" w:eastAsia="仿宋_GB2312"/>
          <w:bCs/>
          <w:sz w:val="24"/>
          <w:highlight w:val="yellow"/>
          <w:lang w:val="en-US" w:eastAsia="zh-CN"/>
        </w:rPr>
        <w:t>形成报批稿、提交报批材料</w:t>
      </w:r>
    </w:p>
    <w:p>
      <w:pPr>
        <w:numPr>
          <w:ilvl w:val="0"/>
          <w:numId w:val="0"/>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2024年**月**日，山西省农业标准化委员会组织相关专家对标准送审稿和编制说明进行了第二次审查。起草小组在吸纳专家意见的基础上，将送审稿修改成为报批稿。</w:t>
      </w:r>
    </w:p>
    <w:p>
      <w:pPr>
        <w:spacing w:line="360" w:lineRule="auto"/>
        <w:ind w:firstLine="480" w:firstLineChars="200"/>
        <w:outlineLvl w:val="0"/>
        <w:rPr>
          <w:rFonts w:ascii="黑体" w:eastAsia="黑体"/>
          <w:sz w:val="24"/>
          <w:highlight w:val="none"/>
        </w:rPr>
      </w:pPr>
      <w:r>
        <w:rPr>
          <w:rFonts w:hint="eastAsia" w:ascii="黑体" w:eastAsia="黑体"/>
          <w:sz w:val="24"/>
          <w:highlight w:val="none"/>
        </w:rPr>
        <w:t>四</w:t>
      </w:r>
      <w:r>
        <w:rPr>
          <w:rFonts w:ascii="黑体" w:eastAsia="黑体"/>
          <w:sz w:val="24"/>
          <w:highlight w:val="none"/>
        </w:rPr>
        <w:t>、</w:t>
      </w:r>
      <w:r>
        <w:rPr>
          <w:rFonts w:hint="eastAsia" w:ascii="黑体" w:eastAsia="黑体"/>
          <w:sz w:val="24"/>
          <w:highlight w:val="none"/>
          <w:lang w:eastAsia="zh-CN"/>
        </w:rPr>
        <w:t>制修</w:t>
      </w:r>
      <w:r>
        <w:rPr>
          <w:rFonts w:ascii="黑体" w:eastAsia="黑体"/>
          <w:sz w:val="24"/>
          <w:highlight w:val="none"/>
        </w:rPr>
        <w:t>订标准的原则和依据，与现行法律、法规、标准的关系</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本标准严格遵循国家标准和行业标准在蔬菜种苗生产方面的相关规定，同时也参考了部分国家标准、行业标准和山西省地方标准（表2）的相关要求。在此基础上完成本标准的修订，以更好的满足广大果菜类蔬菜种苗生产者的需求。</w:t>
      </w:r>
    </w:p>
    <w:p>
      <w:p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本标准从山西省果菜类蔬菜固碳育苗实际要求出发，参考相关的国家或行业标准，结合山西省当地实际情况进行制定，符合现行法律、法规和强制性标准的相关条款。</w:t>
      </w:r>
    </w:p>
    <w:p>
      <w:pPr>
        <w:spacing w:line="400" w:lineRule="exact"/>
        <w:ind w:firstLine="481" w:firstLineChars="200"/>
        <w:jc w:val="center"/>
        <w:rPr>
          <w:rFonts w:hint="eastAsia" w:eastAsia="仿宋_GB2312"/>
          <w:b/>
          <w:bCs w:val="0"/>
          <w:sz w:val="24"/>
          <w:lang w:val="en-US" w:eastAsia="zh-CN"/>
        </w:rPr>
      </w:pPr>
      <w:r>
        <w:rPr>
          <w:rFonts w:hint="eastAsia" w:eastAsia="仿宋_GB2312"/>
          <w:b/>
          <w:bCs w:val="0"/>
          <w:sz w:val="24"/>
          <w:lang w:val="en-US" w:eastAsia="zh-CN"/>
        </w:rPr>
        <w:t>表1  相关参考标准</w:t>
      </w:r>
    </w:p>
    <w:tbl>
      <w:tblPr>
        <w:tblStyle w:val="11"/>
        <w:tblW w:w="9060"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48"/>
        <w:gridCol w:w="2249"/>
        <w:gridCol w:w="4563"/>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single" w:color="auto" w:sz="12" w:space="0"/>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eastAsia="仿宋_GB2312"/>
                <w:b/>
                <w:bCs w:val="0"/>
                <w:sz w:val="24"/>
                <w:lang w:val="en-US" w:eastAsia="zh-CN"/>
              </w:rPr>
            </w:pPr>
            <w:r>
              <w:rPr>
                <w:rFonts w:hint="eastAsia" w:eastAsia="仿宋_GB2312"/>
                <w:b/>
                <w:bCs w:val="0"/>
                <w:sz w:val="24"/>
                <w:lang w:val="en-US" w:eastAsia="zh-CN"/>
              </w:rPr>
              <w:t>编号</w:t>
            </w:r>
          </w:p>
        </w:tc>
        <w:tc>
          <w:tcPr>
            <w:tcW w:w="2249" w:type="dxa"/>
            <w:tcBorders>
              <w:top w:val="single" w:color="auto" w:sz="12" w:space="0"/>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eastAsia="仿宋_GB2312"/>
                <w:b/>
                <w:bCs w:val="0"/>
                <w:sz w:val="24"/>
                <w:lang w:val="en-US" w:eastAsia="zh-CN"/>
              </w:rPr>
            </w:pPr>
            <w:r>
              <w:rPr>
                <w:rFonts w:hint="eastAsia" w:eastAsia="仿宋_GB2312"/>
                <w:b/>
                <w:bCs w:val="0"/>
                <w:sz w:val="24"/>
                <w:lang w:val="en-US" w:eastAsia="zh-CN"/>
              </w:rPr>
              <w:t>标准号</w:t>
            </w:r>
          </w:p>
        </w:tc>
        <w:tc>
          <w:tcPr>
            <w:tcW w:w="4563" w:type="dxa"/>
            <w:tcBorders>
              <w:top w:val="single" w:color="auto" w:sz="12" w:space="0"/>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eastAsia="仿宋_GB2312"/>
                <w:b/>
                <w:bCs w:val="0"/>
                <w:sz w:val="24"/>
                <w:lang w:val="en-US" w:eastAsia="zh-CN"/>
              </w:rPr>
            </w:pPr>
            <w:r>
              <w:rPr>
                <w:rFonts w:hint="eastAsia" w:eastAsia="仿宋_GB2312"/>
                <w:b/>
                <w:bCs w:val="0"/>
                <w:sz w:val="24"/>
                <w:lang w:val="en-US" w:eastAsia="zh-CN"/>
              </w:rPr>
              <w:t>标准名称</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1</w:t>
            </w:r>
          </w:p>
        </w:tc>
        <w:tc>
          <w:tcPr>
            <w:tcW w:w="2249"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GB16715.1</w:t>
            </w:r>
          </w:p>
        </w:tc>
        <w:tc>
          <w:tcPr>
            <w:tcW w:w="4563"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 xml:space="preserve">瓜菜作物种子 </w:t>
            </w:r>
            <w:r>
              <w:rPr>
                <w:rFonts w:hint="eastAsia" w:eastAsia="仿宋_GB2312" w:cs="Times New Roman"/>
                <w:bCs/>
                <w:kern w:val="2"/>
                <w:sz w:val="21"/>
                <w:szCs w:val="21"/>
                <w:lang w:val="en-US" w:eastAsia="zh-CN" w:bidi="ar-SA"/>
              </w:rPr>
              <w:t>第1部分：</w:t>
            </w:r>
            <w:r>
              <w:rPr>
                <w:rFonts w:hint="eastAsia" w:ascii="Times New Roman" w:hAnsi="Times New Roman" w:eastAsia="仿宋_GB2312" w:cs="Times New Roman"/>
                <w:bCs/>
                <w:kern w:val="2"/>
                <w:sz w:val="21"/>
                <w:szCs w:val="21"/>
                <w:lang w:val="en-US" w:eastAsia="zh-CN" w:bidi="ar-SA"/>
              </w:rPr>
              <w:t>瓜类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2</w:t>
            </w:r>
          </w:p>
        </w:tc>
        <w:tc>
          <w:tcPr>
            <w:tcW w:w="2249"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GB16715.3</w:t>
            </w:r>
          </w:p>
        </w:tc>
        <w:tc>
          <w:tcPr>
            <w:tcW w:w="4563"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 xml:space="preserve">瓜菜作物种子 </w:t>
            </w:r>
            <w:r>
              <w:rPr>
                <w:rFonts w:hint="eastAsia" w:eastAsia="仿宋_GB2312" w:cs="Times New Roman"/>
                <w:bCs/>
                <w:kern w:val="2"/>
                <w:sz w:val="21"/>
                <w:szCs w:val="21"/>
                <w:lang w:val="en-US" w:eastAsia="zh-CN" w:bidi="ar-SA"/>
              </w:rPr>
              <w:t>第3部分：</w:t>
            </w:r>
            <w:r>
              <w:rPr>
                <w:rFonts w:hint="eastAsia" w:ascii="Times New Roman" w:hAnsi="Times New Roman" w:eastAsia="仿宋_GB2312" w:cs="Times New Roman"/>
                <w:bCs/>
                <w:kern w:val="2"/>
                <w:sz w:val="21"/>
                <w:szCs w:val="21"/>
                <w:lang w:val="en-US" w:eastAsia="zh-CN" w:bidi="ar-SA"/>
              </w:rPr>
              <w:t>茄果类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3</w:t>
            </w:r>
          </w:p>
        </w:tc>
        <w:tc>
          <w:tcPr>
            <w:tcW w:w="2249"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NY/T 1107</w:t>
            </w:r>
          </w:p>
        </w:tc>
        <w:tc>
          <w:tcPr>
            <w:tcW w:w="4563"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大量元素水溶肥料</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4</w:t>
            </w:r>
          </w:p>
        </w:tc>
        <w:tc>
          <w:tcPr>
            <w:tcW w:w="2249"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NY/T 2118</w:t>
            </w:r>
          </w:p>
        </w:tc>
        <w:tc>
          <w:tcPr>
            <w:tcW w:w="4563"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蔬菜育苗基质</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5</w:t>
            </w:r>
          </w:p>
        </w:tc>
        <w:tc>
          <w:tcPr>
            <w:tcW w:w="2249"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lang w:val="en-US" w:eastAsia="zh-CN"/>
              </w:rPr>
              <w:t>NY/T 2312</w:t>
            </w:r>
          </w:p>
        </w:tc>
        <w:tc>
          <w:tcPr>
            <w:tcW w:w="4563" w:type="dxa"/>
            <w:tcBorders>
              <w:top w:val="nil"/>
              <w:left w:val="nil"/>
              <w:bottom w:val="nil"/>
              <w:right w:val="nil"/>
            </w:tcBorders>
            <w:noWrap w:val="0"/>
            <w:vAlign w:val="center"/>
          </w:tcPr>
          <w:p>
            <w:pPr>
              <w:pStyle w:val="18"/>
              <w:keepNext w:val="0"/>
              <w:keepLines w:val="0"/>
              <w:pageBreakBefore w:val="0"/>
              <w:widowControl/>
              <w:kinsoku/>
              <w:wordWrap/>
              <w:overflowPunct/>
              <w:topLinePunct w:val="0"/>
              <w:bidi w:val="0"/>
              <w:adjustRightInd/>
              <w:snapToGrid/>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茄果类蔬菜穴盘育苗技术规程</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6</w:t>
            </w:r>
          </w:p>
        </w:tc>
        <w:tc>
          <w:tcPr>
            <w:tcW w:w="2249"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NY/T 2</w:t>
            </w:r>
            <w:r>
              <w:rPr>
                <w:rFonts w:hint="eastAsia" w:eastAsia="仿宋_GB2312" w:cs="Times New Roman"/>
                <w:bCs/>
                <w:kern w:val="2"/>
                <w:sz w:val="21"/>
                <w:szCs w:val="21"/>
                <w:lang w:val="en-US" w:eastAsia="zh-CN" w:bidi="ar-SA"/>
              </w:rPr>
              <w:t>442</w:t>
            </w:r>
          </w:p>
        </w:tc>
        <w:tc>
          <w:tcPr>
            <w:tcW w:w="4563"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蔬菜集约化育苗场建设标准</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7</w:t>
            </w:r>
          </w:p>
        </w:tc>
        <w:tc>
          <w:tcPr>
            <w:tcW w:w="2249"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lang w:val="en-US" w:eastAsia="zh-CN"/>
              </w:rPr>
              <w:t>NY/T 3931</w:t>
            </w:r>
          </w:p>
        </w:tc>
        <w:tc>
          <w:tcPr>
            <w:tcW w:w="4563"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茄果类蔬菜嫁接育苗技术规程</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8</w:t>
            </w:r>
          </w:p>
        </w:tc>
        <w:tc>
          <w:tcPr>
            <w:tcW w:w="2249"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lang w:val="en-US" w:eastAsia="zh-CN"/>
              </w:rPr>
              <w:t>DB14/T 910</w:t>
            </w:r>
          </w:p>
        </w:tc>
        <w:tc>
          <w:tcPr>
            <w:tcW w:w="4563" w:type="dxa"/>
            <w:tcBorders>
              <w:top w:val="nil"/>
              <w:left w:val="nil"/>
              <w:bottom w:val="nil"/>
              <w:right w:val="nil"/>
            </w:tcBorders>
            <w:noWrap w:val="0"/>
            <w:vAlign w:val="center"/>
          </w:tcPr>
          <w:p>
            <w:pPr>
              <w:pStyle w:val="18"/>
              <w:keepNext w:val="0"/>
              <w:keepLines w:val="0"/>
              <w:pageBreakBefore w:val="0"/>
              <w:widowControl/>
              <w:kinsoku/>
              <w:wordWrap/>
              <w:overflowPunct/>
              <w:topLinePunct w:val="0"/>
              <w:bidi w:val="0"/>
              <w:adjustRightInd/>
              <w:snapToGrid/>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黄瓜集约化育苗生产技术规程</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9</w:t>
            </w:r>
          </w:p>
        </w:tc>
        <w:tc>
          <w:tcPr>
            <w:tcW w:w="2249"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lang w:val="en-US" w:eastAsia="zh-CN"/>
              </w:rPr>
              <w:t>DB14/T 912</w:t>
            </w:r>
          </w:p>
        </w:tc>
        <w:tc>
          <w:tcPr>
            <w:tcW w:w="4563" w:type="dxa"/>
            <w:tcBorders>
              <w:top w:val="nil"/>
              <w:left w:val="nil"/>
              <w:bottom w:val="nil"/>
              <w:right w:val="nil"/>
            </w:tcBorders>
            <w:noWrap w:val="0"/>
            <w:vAlign w:val="center"/>
          </w:tcPr>
          <w:p>
            <w:pPr>
              <w:pStyle w:val="18"/>
              <w:keepNext w:val="0"/>
              <w:keepLines w:val="0"/>
              <w:pageBreakBefore w:val="0"/>
              <w:widowControl/>
              <w:kinsoku/>
              <w:wordWrap/>
              <w:overflowPunct/>
              <w:topLinePunct w:val="0"/>
              <w:bidi w:val="0"/>
              <w:adjustRightInd/>
              <w:snapToGrid/>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西瓜集约化育苗生产技术规程</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10</w:t>
            </w:r>
          </w:p>
        </w:tc>
        <w:tc>
          <w:tcPr>
            <w:tcW w:w="2249"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宋体" w:cs="Times New Roman"/>
                <w:kern w:val="2"/>
                <w:sz w:val="21"/>
                <w:szCs w:val="24"/>
                <w:lang w:val="en-US" w:eastAsia="zh-CN" w:bidi="ar-SA"/>
              </w:rPr>
            </w:pPr>
            <w:r>
              <w:rPr>
                <w:rFonts w:hint="eastAsia" w:ascii="Times New Roman"/>
                <w:lang w:val="en-US" w:eastAsia="zh-CN"/>
              </w:rPr>
              <w:t>DB14/T 1294</w:t>
            </w:r>
          </w:p>
        </w:tc>
        <w:tc>
          <w:tcPr>
            <w:tcW w:w="4563" w:type="dxa"/>
            <w:tcBorders>
              <w:top w:val="nil"/>
              <w:left w:val="nil"/>
              <w:bottom w:val="nil"/>
              <w:right w:val="nil"/>
            </w:tcBorders>
            <w:noWrap w:val="0"/>
            <w:vAlign w:val="center"/>
          </w:tcPr>
          <w:p>
            <w:pPr>
              <w:pStyle w:val="18"/>
              <w:keepNext w:val="0"/>
              <w:keepLines w:val="0"/>
              <w:pageBreakBefore w:val="0"/>
              <w:widowControl/>
              <w:kinsoku/>
              <w:wordWrap/>
              <w:overflowPunct/>
              <w:topLinePunct w:val="0"/>
              <w:bidi w:val="0"/>
              <w:adjustRightInd/>
              <w:snapToGrid/>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西葫芦集约化育苗生产技术规程</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11</w:t>
            </w:r>
          </w:p>
        </w:tc>
        <w:tc>
          <w:tcPr>
            <w:tcW w:w="2249" w:type="dxa"/>
            <w:tcBorders>
              <w:top w:val="nil"/>
              <w:left w:val="nil"/>
              <w:bottom w:val="nil"/>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ascii="Times New Roman"/>
                <w:lang w:val="en-US" w:eastAsia="zh-CN"/>
              </w:rPr>
            </w:pPr>
            <w:r>
              <w:rPr>
                <w:rFonts w:hint="eastAsia" w:ascii="Times New Roman"/>
                <w:lang w:val="en-US" w:eastAsia="zh-CN"/>
              </w:rPr>
              <w:t>DB14/T 12</w:t>
            </w:r>
            <w:r>
              <w:rPr>
                <w:rFonts w:hint="eastAsia"/>
                <w:lang w:val="en-US" w:eastAsia="zh-CN"/>
              </w:rPr>
              <w:t>88</w:t>
            </w:r>
          </w:p>
        </w:tc>
        <w:tc>
          <w:tcPr>
            <w:tcW w:w="4563" w:type="dxa"/>
            <w:tcBorders>
              <w:top w:val="nil"/>
              <w:left w:val="nil"/>
              <w:bottom w:val="nil"/>
              <w:right w:val="nil"/>
            </w:tcBorders>
            <w:noWrap w:val="0"/>
            <w:vAlign w:val="center"/>
          </w:tcPr>
          <w:p>
            <w:pPr>
              <w:pStyle w:val="18"/>
              <w:keepNext w:val="0"/>
              <w:keepLines w:val="0"/>
              <w:pageBreakBefore w:val="0"/>
              <w:widowControl/>
              <w:kinsoku/>
              <w:wordWrap/>
              <w:overflowPunct/>
              <w:topLinePunct w:val="0"/>
              <w:bidi w:val="0"/>
              <w:adjustRightInd/>
              <w:snapToGrid/>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eastAsia="仿宋_GB2312" w:cs="Times New Roman"/>
                <w:bCs/>
                <w:kern w:val="2"/>
                <w:sz w:val="21"/>
                <w:szCs w:val="21"/>
                <w:lang w:val="en-US" w:eastAsia="zh-CN" w:bidi="ar-SA"/>
              </w:rPr>
              <w:t>设施蔬菜</w:t>
            </w:r>
            <w:r>
              <w:rPr>
                <w:rFonts w:hint="default" w:ascii="Times New Roman" w:hAnsi="Times New Roman" w:eastAsia="仿宋_GB2312" w:cs="Times New Roman"/>
                <w:bCs/>
                <w:kern w:val="2"/>
                <w:sz w:val="21"/>
                <w:szCs w:val="21"/>
                <w:lang w:val="en-US" w:eastAsia="zh-CN" w:bidi="ar-SA"/>
              </w:rPr>
              <w:t>二氧化碳施肥技术规程</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2248" w:type="dxa"/>
            <w:tcBorders>
              <w:top w:val="nil"/>
              <w:left w:val="nil"/>
              <w:bottom w:val="single" w:color="auto" w:sz="12" w:space="0"/>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default" w:ascii="Times New Roman" w:hAnsi="Times New Roman" w:eastAsia="仿宋_GB2312" w:cs="Times New Roman"/>
                <w:bCs/>
                <w:kern w:val="2"/>
                <w:sz w:val="21"/>
                <w:szCs w:val="21"/>
                <w:lang w:val="en-US" w:eastAsia="zh-CN" w:bidi="ar-SA"/>
              </w:rPr>
            </w:pPr>
            <w:r>
              <w:rPr>
                <w:rFonts w:hint="eastAsia" w:eastAsia="仿宋_GB2312" w:cs="Times New Roman"/>
                <w:bCs/>
                <w:kern w:val="2"/>
                <w:sz w:val="21"/>
                <w:szCs w:val="21"/>
                <w:lang w:val="en-US" w:eastAsia="zh-CN" w:bidi="ar-SA"/>
              </w:rPr>
              <w:t>12</w:t>
            </w:r>
          </w:p>
        </w:tc>
        <w:tc>
          <w:tcPr>
            <w:tcW w:w="2249" w:type="dxa"/>
            <w:tcBorders>
              <w:top w:val="nil"/>
              <w:left w:val="nil"/>
              <w:bottom w:val="single" w:color="auto" w:sz="12" w:space="0"/>
              <w:right w:val="nil"/>
            </w:tcBorders>
            <w:noWrap w:val="0"/>
            <w:vAlign w:val="center"/>
          </w:tcPr>
          <w:p>
            <w:pPr>
              <w:keepNext w:val="0"/>
              <w:keepLines w:val="0"/>
              <w:pageBreakBefore w:val="0"/>
              <w:kinsoku/>
              <w:wordWrap/>
              <w:overflowPunct/>
              <w:topLinePunct w:val="0"/>
              <w:bidi w:val="0"/>
              <w:adjustRightInd/>
              <w:snapToGrid/>
              <w:spacing w:line="400" w:lineRule="exact"/>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lang w:val="en-US" w:eastAsia="zh-CN"/>
              </w:rPr>
              <w:t xml:space="preserve">DB14/T 1574 </w:t>
            </w:r>
          </w:p>
        </w:tc>
        <w:tc>
          <w:tcPr>
            <w:tcW w:w="4563" w:type="dxa"/>
            <w:tcBorders>
              <w:top w:val="nil"/>
              <w:left w:val="nil"/>
              <w:bottom w:val="single" w:color="auto" w:sz="12" w:space="0"/>
              <w:right w:val="nil"/>
            </w:tcBorders>
            <w:noWrap w:val="0"/>
            <w:vAlign w:val="center"/>
          </w:tcPr>
          <w:p>
            <w:pPr>
              <w:pStyle w:val="18"/>
              <w:keepNext w:val="0"/>
              <w:keepLines w:val="0"/>
              <w:pageBreakBefore w:val="0"/>
              <w:widowControl/>
              <w:kinsoku/>
              <w:wordWrap/>
              <w:overflowPunct/>
              <w:topLinePunct w:val="0"/>
              <w:bidi w:val="0"/>
              <w:adjustRightInd/>
              <w:snapToGrid/>
              <w:ind w:firstLine="0" w:firstLineChars="0"/>
              <w:jc w:val="center"/>
              <w:textAlignment w:val="auto"/>
              <w:rPr>
                <w:rFonts w:hint="eastAsia" w:ascii="Times New Roman" w:hAnsi="Times New Roman" w:eastAsia="仿宋_GB2312" w:cs="Times New Roman"/>
                <w:bCs/>
                <w:kern w:val="2"/>
                <w:sz w:val="21"/>
                <w:szCs w:val="21"/>
                <w:lang w:val="en-US" w:eastAsia="zh-CN" w:bidi="ar-SA"/>
              </w:rPr>
            </w:pPr>
            <w:r>
              <w:rPr>
                <w:rFonts w:hint="eastAsia" w:ascii="Times New Roman" w:hAnsi="Times New Roman" w:eastAsia="仿宋_GB2312" w:cs="Times New Roman"/>
                <w:bCs/>
                <w:kern w:val="2"/>
                <w:sz w:val="21"/>
                <w:szCs w:val="21"/>
                <w:lang w:val="en-US" w:eastAsia="zh-CN" w:bidi="ar-SA"/>
              </w:rPr>
              <w:t>甜瓜穴盘嫁接育苗技术规程</w:t>
            </w:r>
          </w:p>
        </w:tc>
      </w:tr>
    </w:tbl>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eastAsia="zh-CN"/>
        </w:rPr>
      </w:pPr>
      <w:r>
        <w:rPr>
          <w:rFonts w:hint="eastAsia" w:eastAsia="仿宋_GB2312"/>
          <w:bCs/>
          <w:sz w:val="24"/>
          <w:lang w:eastAsia="zh-CN"/>
        </w:rPr>
        <w:t>标准起草组以“合法性、安全性、适应性、协调性和先进性”为修订原则，以文本结构更加合理、表述更加准确、技术指标更加科学为修订目标，从</w:t>
      </w:r>
      <w:r>
        <w:rPr>
          <w:rFonts w:hint="eastAsia" w:eastAsia="仿宋_GB2312"/>
          <w:bCs/>
          <w:sz w:val="24"/>
          <w:highlight w:val="none"/>
          <w:lang w:val="en-US" w:eastAsia="zh-CN"/>
        </w:rPr>
        <w:t>16</w:t>
      </w:r>
      <w:r>
        <w:rPr>
          <w:rFonts w:hint="eastAsia" w:eastAsia="仿宋_GB2312"/>
          <w:bCs/>
          <w:sz w:val="24"/>
          <w:lang w:eastAsia="zh-CN"/>
        </w:rPr>
        <w:t>个方面对文本进行了修订，其中：</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eastAsia="zh-CN"/>
        </w:rPr>
      </w:pPr>
      <w:r>
        <w:rPr>
          <w:rFonts w:hint="eastAsia" w:eastAsia="仿宋_GB2312"/>
          <w:bCs/>
          <w:sz w:val="24"/>
          <w:lang w:eastAsia="zh-CN"/>
        </w:rPr>
        <w:t>涉及结构性调整的主要有</w:t>
      </w:r>
      <w:r>
        <w:rPr>
          <w:rFonts w:hint="eastAsia" w:eastAsia="仿宋_GB2312"/>
          <w:bCs/>
          <w:sz w:val="24"/>
          <w:lang w:val="en-US" w:eastAsia="zh-CN"/>
        </w:rPr>
        <w:t>2</w:t>
      </w:r>
      <w:r>
        <w:rPr>
          <w:rFonts w:hint="eastAsia" w:eastAsia="仿宋_GB2312"/>
          <w:bCs/>
          <w:sz w:val="24"/>
          <w:lang w:eastAsia="zh-CN"/>
        </w:rPr>
        <w:t>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（1）将“6 育苗技术”调整为“6 播前准备、7 播种嫁接、8 苗期管理”。修订原因：根据评审专家意见进行修改。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（2）将“7 二氧化碳施肥”章节顺序进行了调整，将原来的“7.1 施肥浓度”、“7.2 施肥时间”和“7.3 施肥方法”调整为“7.1 施肥时间”、“7.2 施肥方法”和“7.3 施肥浓度”。修订原因：从生产实际出发，施肥首先应该确定什么时候施肥，其次是采用什么方法施肥，最后才确定施肥的浓度。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2、涉及表述与编辑性修改的主要有11项：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eastAsia="zh-CN"/>
        </w:rPr>
      </w:pPr>
      <w:r>
        <w:rPr>
          <w:rFonts w:hint="eastAsia" w:ascii="仿宋_GB2312" w:hAnsi="仿宋" w:eastAsia="仿宋_GB2312" w:cs="Times New Roman"/>
          <w:sz w:val="24"/>
          <w:szCs w:val="24"/>
          <w:lang w:val="en-US" w:eastAsia="zh-CN"/>
        </w:rPr>
        <w:t>（1）更改了标准名称。修订原因：根据评审专家意见，将标准名称修改为“设施蔬菜固碳生产技术规程 果菜类育苗”。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 w:eastAsia="仿宋_GB2312" w:cs="Times New Roman"/>
          <w:sz w:val="24"/>
          <w:szCs w:val="24"/>
          <w:lang w:val="en-US" w:eastAsia="zh-CN"/>
        </w:rPr>
      </w:pPr>
      <w:r>
        <w:rPr>
          <w:rFonts w:hint="eastAsia" w:eastAsia="仿宋_GB2312"/>
          <w:bCs/>
          <w:sz w:val="24"/>
          <w:lang w:eastAsia="zh-CN"/>
        </w:rPr>
        <w:t>（</w:t>
      </w:r>
      <w:r>
        <w:rPr>
          <w:rFonts w:hint="eastAsia" w:eastAsia="仿宋_GB2312"/>
          <w:bCs/>
          <w:sz w:val="24"/>
          <w:lang w:val="en-US" w:eastAsia="zh-CN"/>
        </w:rPr>
        <w:t>2</w:t>
      </w:r>
      <w:r>
        <w:rPr>
          <w:rFonts w:hint="eastAsia" w:eastAsia="仿宋_GB2312"/>
          <w:bCs/>
          <w:sz w:val="24"/>
          <w:lang w:eastAsia="zh-CN"/>
        </w:rPr>
        <w:t>）更改了</w:t>
      </w:r>
      <w:r>
        <w:rPr>
          <w:rFonts w:hint="eastAsia" w:eastAsia="仿宋_GB2312"/>
          <w:bCs/>
          <w:sz w:val="24"/>
          <w:lang w:val="en-US" w:eastAsia="zh-CN"/>
        </w:rPr>
        <w:t>前言</w:t>
      </w:r>
      <w:r>
        <w:rPr>
          <w:rFonts w:hint="eastAsia" w:eastAsia="仿宋_GB2312"/>
          <w:bCs/>
          <w:sz w:val="24"/>
          <w:lang w:eastAsia="zh-CN"/>
        </w:rPr>
        <w:t>。</w:t>
      </w:r>
      <w:r>
        <w:rPr>
          <w:rFonts w:hint="eastAsia" w:ascii="仿宋_GB2312" w:hAnsi="仿宋" w:eastAsia="仿宋_GB2312" w:cs="Times New Roman"/>
          <w:sz w:val="24"/>
          <w:szCs w:val="24"/>
          <w:lang w:val="en-US" w:eastAsia="zh-CN"/>
        </w:rPr>
        <w:t>修订原因：GB/T 1.1-2009《标准化工作导则 第1部分：标准的结构和编写》已废止；本标准是“设施蔬菜固碳生产技术规程”系列标准之一；本标准代替</w:t>
      </w:r>
      <w:r>
        <w:rPr>
          <w:rFonts w:hint="eastAsia" w:ascii="仿宋" w:hAnsi="仿宋" w:eastAsia="仿宋" w:cs="仿宋"/>
          <w:bCs/>
          <w:sz w:val="24"/>
          <w:lang w:val="en-US" w:eastAsia="zh-CN"/>
        </w:rPr>
        <w:t>DB14/T 1281—2016</w:t>
      </w:r>
      <w:r>
        <w:rPr>
          <w:rFonts w:hint="eastAsia" w:eastAsia="仿宋_GB2312"/>
          <w:bCs/>
          <w:sz w:val="24"/>
          <w:lang w:val="en-US" w:eastAsia="zh-CN"/>
        </w:rPr>
        <w:t>《果菜类蔬菜高效固碳育苗技术规程》</w:t>
      </w:r>
      <w:r>
        <w:rPr>
          <w:rFonts w:hint="eastAsia" w:ascii="仿宋_GB2312" w:hAnsi="仿宋" w:eastAsia="仿宋_GB2312" w:cs="Times New Roman"/>
          <w:sz w:val="24"/>
          <w:szCs w:val="24"/>
          <w:lang w:val="en-US" w:eastAsia="zh-CN"/>
        </w:rPr>
        <w:t>；本标准的起草单位和主要起草人发生了变化。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eastAsia="zh-CN"/>
        </w:rPr>
        <w:t>（</w:t>
      </w:r>
      <w:r>
        <w:rPr>
          <w:rFonts w:hint="eastAsia" w:eastAsia="仿宋_GB2312"/>
          <w:bCs/>
          <w:sz w:val="24"/>
          <w:lang w:val="en-US" w:eastAsia="zh-CN"/>
        </w:rPr>
        <w:t>3</w:t>
      </w:r>
      <w:r>
        <w:rPr>
          <w:rFonts w:hint="eastAsia" w:eastAsia="仿宋_GB2312"/>
          <w:bCs/>
          <w:sz w:val="24"/>
          <w:lang w:eastAsia="zh-CN"/>
        </w:rPr>
        <w:t>）更改了</w:t>
      </w:r>
      <w:r>
        <w:rPr>
          <w:rFonts w:hint="eastAsia" w:eastAsia="仿宋_GB2312"/>
          <w:bCs/>
          <w:sz w:val="24"/>
          <w:lang w:val="en-US" w:eastAsia="zh-CN"/>
        </w:rPr>
        <w:t>规范性引用文件</w:t>
      </w:r>
      <w:r>
        <w:rPr>
          <w:rFonts w:hint="eastAsia" w:eastAsia="仿宋_GB2312"/>
          <w:bCs/>
          <w:sz w:val="24"/>
          <w:lang w:eastAsia="zh-CN"/>
        </w:rPr>
        <w:t>。</w:t>
      </w:r>
      <w:r>
        <w:rPr>
          <w:rFonts w:hint="eastAsia" w:eastAsia="仿宋_GB2312"/>
          <w:bCs/>
          <w:sz w:val="24"/>
          <w:lang w:val="en-US" w:eastAsia="zh-CN"/>
        </w:rPr>
        <w:t>修</w:t>
      </w:r>
      <w:r>
        <w:rPr>
          <w:rFonts w:hint="eastAsia" w:eastAsia="仿宋_GB2312"/>
          <w:bCs/>
          <w:sz w:val="24"/>
          <w:lang w:eastAsia="zh-CN"/>
        </w:rPr>
        <w:t>订</w:t>
      </w:r>
      <w:r>
        <w:rPr>
          <w:rFonts w:hint="eastAsia" w:eastAsia="仿宋_GB2312"/>
          <w:bCs/>
          <w:sz w:val="24"/>
          <w:lang w:val="en-US" w:eastAsia="zh-CN"/>
        </w:rPr>
        <w:t>原因：由于部分标准已废止，因此用现行标准替代废止标准</w:t>
      </w:r>
      <w:r>
        <w:rPr>
          <w:rFonts w:hint="eastAsia" w:eastAsia="仿宋_GB2312"/>
          <w:bCs/>
          <w:sz w:val="24"/>
          <w:lang w:eastAsia="zh-CN"/>
        </w:rPr>
        <w:t>；</w:t>
      </w:r>
      <w:r>
        <w:rPr>
          <w:rFonts w:hint="eastAsia" w:eastAsia="仿宋_GB2312"/>
          <w:bCs/>
          <w:sz w:val="24"/>
          <w:lang w:val="en-US" w:eastAsia="zh-CN"/>
        </w:rPr>
        <w:t>在果菜类蔬菜固碳育苗中，大量元素水溶肥的使用是必须的，故增加了大量元素水溶肥的相关标准；目前蔬菜育苗主要是集约化育苗，故增加了行业标准NY/T 2442《蔬菜集约化育苗场建设标准》。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（4）删除了高效固碳育苗，同时将其修订为固碳生产。修订原因：由于标准名称进行了修改，因此对应的术语也进行了相应的修改。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（5）删除了穴盘育苗。修订原因：行业标准NY/T 2119《蔬菜穴盘育苗  通则》对其做出了规定，故将其删除。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（6）删除了液体钢瓶释放法和商品气肥法。修订原因：山西省地方标准DB14/T 2024-1288《设施蔬菜二氧化碳施肥技术规程》对其有详细的描述，故将其删除。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（7）</w:t>
      </w:r>
      <w:r>
        <w:rPr>
          <w:rFonts w:hint="eastAsia" w:eastAsia="仿宋_GB2312"/>
          <w:bCs/>
          <w:sz w:val="24"/>
          <w:highlight w:val="none"/>
          <w:lang w:val="en-US" w:eastAsia="zh-CN"/>
        </w:rPr>
        <w:t>删除了劈接法</w:t>
      </w:r>
      <w:r>
        <w:rPr>
          <w:rFonts w:hint="eastAsia" w:eastAsia="仿宋_GB2312"/>
          <w:bCs/>
          <w:sz w:val="24"/>
          <w:lang w:val="en-US" w:eastAsia="zh-CN"/>
        </w:rPr>
        <w:t>。修订原因：行业标准NY/T 3931《茄果类蔬菜嫁接育苗技术规程》对劈接法做出了规定，故将其删除。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eastAsia" w:eastAsia="仿宋_GB2312"/>
          <w:bCs/>
          <w:sz w:val="24"/>
          <w:lang w:val="en-US" w:eastAsia="zh-CN"/>
        </w:rPr>
        <w:t>（8）删除了插接法</w:t>
      </w:r>
      <w:r>
        <w:rPr>
          <w:rFonts w:hint="default" w:eastAsia="仿宋_GB2312"/>
          <w:bCs/>
          <w:sz w:val="24"/>
          <w:lang w:val="en-US" w:eastAsia="zh-CN"/>
        </w:rPr>
        <w:t>。修订原因：</w:t>
      </w:r>
      <w:r>
        <w:rPr>
          <w:rFonts w:hint="eastAsia" w:eastAsia="仿宋_GB2312"/>
          <w:bCs/>
          <w:sz w:val="24"/>
          <w:lang w:val="en-US" w:eastAsia="zh-CN"/>
        </w:rPr>
        <w:t>已有山西省地方标准DB14/T 910《黄瓜集约化育苗生产技术规程》、DB14/T 912《西瓜集约化育苗生产技术规程》和DB14/T 1574《甜瓜穴盘嫁接育苗技术规程》对插接法做出了规定，故将其删除。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eastAsia" w:eastAsia="仿宋_GB2312"/>
          <w:bCs/>
          <w:sz w:val="24"/>
          <w:lang w:val="en-US" w:eastAsia="zh-CN"/>
        </w:rPr>
        <w:t>（9）删除了温室结构，同时将其修订为育苗环境。修订原因：由于国家标准GB/T 19165《日光温室和塑料大棚结构与性能要求》已废止。故将“温室结构与性能符合GB/T 19165的规定。”修订为“育苗设施结构与性能符合NY/T 2442的规定”。</w:t>
      </w:r>
    </w:p>
    <w:p>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szCs w:val="24"/>
          <w:vertAlign w:val="baseline"/>
          <w:lang w:val="en-US" w:eastAsia="zh-CN"/>
        </w:rPr>
      </w:pPr>
      <w:r>
        <w:rPr>
          <w:rFonts w:hint="eastAsia" w:eastAsia="仿宋_GB2312"/>
          <w:bCs/>
          <w:sz w:val="24"/>
          <w:szCs w:val="24"/>
          <w:vertAlign w:val="baseline"/>
          <w:lang w:val="en-US" w:eastAsia="zh-CN"/>
        </w:rPr>
        <w:t>（10）更改了种子处理。修订原因：目前市场售卖的果菜类蔬菜种子有的有包衣，有的没有包衣。故在6.3种子处理中增加了“包衣种子和丸粒化种子直接播种。未包衣或丸粒化种子可进行温汤浸种或药剂消毒”。</w:t>
      </w:r>
    </w:p>
    <w:p>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eastAsia" w:eastAsia="仿宋_GB2312"/>
          <w:bCs/>
          <w:sz w:val="24"/>
          <w:szCs w:val="24"/>
          <w:vertAlign w:val="baseline"/>
          <w:lang w:val="en-US" w:eastAsia="zh-CN"/>
        </w:rPr>
        <w:t>行业标准NY/T 2312《茄果类蔬菜穴盘育苗技术规程》描述了番茄、辣椒和茄子种子消毒处理的方法，</w:t>
      </w:r>
      <w:r>
        <w:rPr>
          <w:rFonts w:hint="eastAsia" w:eastAsia="仿宋_GB2312"/>
          <w:bCs/>
          <w:sz w:val="24"/>
          <w:lang w:val="en-US" w:eastAsia="zh-CN"/>
        </w:rPr>
        <w:t>山西省地方标准</w:t>
      </w:r>
      <w:r>
        <w:rPr>
          <w:rFonts w:hint="default" w:eastAsia="仿宋_GB2312"/>
          <w:bCs/>
          <w:sz w:val="24"/>
          <w:lang w:val="en-US" w:eastAsia="zh-CN"/>
        </w:rPr>
        <w:t>DB14/T 910</w:t>
      </w:r>
      <w:r>
        <w:rPr>
          <w:rFonts w:hint="eastAsia" w:eastAsia="仿宋_GB2312"/>
          <w:bCs/>
          <w:sz w:val="24"/>
          <w:lang w:val="en-US" w:eastAsia="zh-CN"/>
        </w:rPr>
        <w:t>《</w:t>
      </w:r>
      <w:r>
        <w:rPr>
          <w:rFonts w:hint="default" w:eastAsia="仿宋_GB2312"/>
          <w:bCs/>
          <w:sz w:val="24"/>
          <w:lang w:val="en-US" w:eastAsia="zh-CN"/>
        </w:rPr>
        <w:t>黄瓜集约化育苗生产技术规程</w:t>
      </w:r>
      <w:r>
        <w:rPr>
          <w:rFonts w:hint="eastAsia" w:eastAsia="仿宋_GB2312"/>
          <w:bCs/>
          <w:sz w:val="24"/>
          <w:lang w:val="en-US" w:eastAsia="zh-CN"/>
        </w:rPr>
        <w:t>》、DB14/T 1294《西葫芦集约化育苗生产技术规程》、</w:t>
      </w:r>
      <w:r>
        <w:rPr>
          <w:rFonts w:hint="default" w:eastAsia="仿宋_GB2312"/>
          <w:bCs/>
          <w:sz w:val="24"/>
          <w:lang w:val="en-US" w:eastAsia="zh-CN"/>
        </w:rPr>
        <w:t>DB14/T 912</w:t>
      </w:r>
      <w:r>
        <w:rPr>
          <w:rFonts w:hint="eastAsia" w:eastAsia="仿宋_GB2312"/>
          <w:bCs/>
          <w:sz w:val="24"/>
          <w:lang w:val="en-US" w:eastAsia="zh-CN"/>
        </w:rPr>
        <w:t>《</w:t>
      </w:r>
      <w:r>
        <w:rPr>
          <w:rFonts w:hint="default" w:eastAsia="仿宋_GB2312"/>
          <w:bCs/>
          <w:sz w:val="24"/>
          <w:lang w:val="en-US" w:eastAsia="zh-CN"/>
        </w:rPr>
        <w:t>西瓜集约化育苗生产技术规程</w:t>
      </w:r>
      <w:r>
        <w:rPr>
          <w:rFonts w:hint="eastAsia" w:eastAsia="仿宋_GB2312"/>
          <w:bCs/>
          <w:sz w:val="24"/>
          <w:lang w:val="en-US" w:eastAsia="zh-CN"/>
        </w:rPr>
        <w:t>》、</w:t>
      </w:r>
      <w:r>
        <w:rPr>
          <w:rFonts w:hint="default" w:eastAsia="仿宋_GB2312"/>
          <w:bCs/>
          <w:sz w:val="24"/>
          <w:lang w:val="en-US" w:eastAsia="zh-CN"/>
        </w:rPr>
        <w:t>DB14/T 1574</w:t>
      </w:r>
      <w:r>
        <w:rPr>
          <w:rFonts w:hint="eastAsia" w:eastAsia="仿宋_GB2312"/>
          <w:bCs/>
          <w:sz w:val="24"/>
          <w:lang w:val="en-US" w:eastAsia="zh-CN"/>
        </w:rPr>
        <w:t>《</w:t>
      </w:r>
      <w:r>
        <w:rPr>
          <w:rFonts w:hint="default" w:eastAsia="仿宋_GB2312"/>
          <w:bCs/>
          <w:sz w:val="24"/>
          <w:lang w:val="en-US" w:eastAsia="zh-CN"/>
        </w:rPr>
        <w:t>甜瓜穴盘嫁接育苗技术规程</w:t>
      </w:r>
      <w:r>
        <w:rPr>
          <w:rFonts w:hint="eastAsia" w:eastAsia="仿宋_GB2312"/>
          <w:bCs/>
          <w:sz w:val="24"/>
          <w:lang w:val="en-US" w:eastAsia="zh-CN"/>
        </w:rPr>
        <w:t>》分别描述了黄瓜、西葫芦、西瓜和甜瓜种子消毒处理的方法，故将“果菜类蔬菜种子消毒方法详见表1”修订为“番茄、辣椒和茄子种子消毒处理方法参照NY/T 2312执行；黄瓜种子消毒处理方法执行DB14/T 910规定，西葫芦种子消毒处理方法执行DB14/T 1294规定，西瓜种子消毒处理执行DB14/T 912规定，甜瓜种子消毒处理执行DB14/T 1574规定。”</w:t>
      </w:r>
    </w:p>
    <w:p>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default" w:eastAsia="仿宋_GB2312"/>
          <w:bCs/>
          <w:sz w:val="24"/>
          <w:lang w:val="en-US" w:eastAsia="zh-CN"/>
        </w:rPr>
        <w:t>行业标准NY/T 2312《茄果类蔬菜穴盘育苗技术规程》描述了番茄、辣椒和茄子种子</w:t>
      </w:r>
      <w:r>
        <w:rPr>
          <w:rFonts w:hint="eastAsia" w:eastAsia="仿宋_GB2312"/>
          <w:bCs/>
          <w:sz w:val="24"/>
          <w:lang w:val="en-US" w:eastAsia="zh-CN"/>
        </w:rPr>
        <w:t>催芽</w:t>
      </w:r>
      <w:r>
        <w:rPr>
          <w:rFonts w:hint="default" w:eastAsia="仿宋_GB2312"/>
          <w:bCs/>
          <w:sz w:val="24"/>
          <w:lang w:val="en-US" w:eastAsia="zh-CN"/>
        </w:rPr>
        <w:t>的方法，山西省地方标准DB14/T 910《黄瓜集约化育苗生产技术规程》、DB14/T 912《西瓜集约化育苗生产技术规程》、DB14/T 1574《甜瓜穴盘嫁接育苗技术规程》分别描述了黄瓜、西瓜和甜瓜种子</w:t>
      </w:r>
      <w:r>
        <w:rPr>
          <w:rFonts w:hint="eastAsia" w:eastAsia="仿宋_GB2312"/>
          <w:bCs/>
          <w:sz w:val="24"/>
          <w:lang w:val="en-US" w:eastAsia="zh-CN"/>
        </w:rPr>
        <w:t>催芽</w:t>
      </w:r>
      <w:r>
        <w:rPr>
          <w:rFonts w:hint="default" w:eastAsia="仿宋_GB2312"/>
          <w:bCs/>
          <w:sz w:val="24"/>
          <w:lang w:val="en-US" w:eastAsia="zh-CN"/>
        </w:rPr>
        <w:t>的方法，故将“消毒后的种子清水浸泡后捞出洗净，置于发芽箱保温保湿催芽，详见表1。”修订为</w:t>
      </w:r>
      <w:r>
        <w:rPr>
          <w:rFonts w:hint="eastAsia" w:eastAsia="仿宋_GB2312"/>
          <w:bCs/>
          <w:sz w:val="24"/>
          <w:lang w:val="en-US" w:eastAsia="zh-CN"/>
        </w:rPr>
        <w:t>“番茄、辣椒和茄子催芽执行NY/T 2312规定；黄瓜催芽执行DB14/T 910规定，西瓜催芽执行DB14/T 912规定，甜瓜执行DB14/T 1574规定，西葫芦催芽的温度控制在25 ℃～30 ℃，有50%的种子露白时停止人工加温待播</w:t>
      </w:r>
      <w:r>
        <w:rPr>
          <w:rFonts w:hint="default" w:eastAsia="仿宋_GB2312"/>
          <w:bCs/>
          <w:sz w:val="24"/>
          <w:lang w:val="en-US" w:eastAsia="zh-CN"/>
        </w:rPr>
        <w:t>。</w:t>
      </w:r>
      <w:r>
        <w:rPr>
          <w:rFonts w:hint="eastAsia" w:eastAsia="仿宋_GB2312"/>
          <w:bCs/>
          <w:sz w:val="24"/>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（11）更改了嫁接。修订原因：由于删除了术语与定义中的“劈接法”和“插接法”，故将7.3嫁接中的“茄果类蔬菜采用劈接法，参照NY/T 3931执行；瓜类蔬菜采用插接法，参照DB14/T 912。</w:t>
      </w:r>
      <w:r>
        <w:rPr>
          <w:rFonts w:hint="default" w:eastAsia="仿宋_GB2312"/>
          <w:bCs/>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rPr>
      </w:pPr>
      <w:r>
        <w:rPr>
          <w:rFonts w:hint="eastAsia" w:eastAsia="仿宋_GB2312"/>
          <w:bCs/>
          <w:sz w:val="24"/>
          <w:lang w:val="en-US" w:eastAsia="zh-CN"/>
        </w:rPr>
        <w:t>3、</w:t>
      </w:r>
      <w:r>
        <w:rPr>
          <w:rFonts w:hint="eastAsia" w:eastAsia="仿宋_GB2312"/>
          <w:bCs/>
          <w:sz w:val="24"/>
        </w:rPr>
        <w:t>涉及到的技术指标主要有</w:t>
      </w:r>
      <w:r>
        <w:rPr>
          <w:rFonts w:hint="eastAsia" w:eastAsia="仿宋_GB2312"/>
          <w:bCs/>
          <w:sz w:val="24"/>
          <w:lang w:val="en-US" w:eastAsia="zh-CN"/>
        </w:rPr>
        <w:t>3</w:t>
      </w:r>
      <w:r>
        <w:rPr>
          <w:rFonts w:hint="eastAsia" w:eastAsia="仿宋_GB2312"/>
          <w:bCs/>
          <w:sz w:val="24"/>
        </w:rPr>
        <w:t>项：</w:t>
      </w:r>
    </w:p>
    <w:p>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szCs w:val="24"/>
          <w:vertAlign w:val="baseline"/>
          <w:lang w:val="en-US" w:eastAsia="zh-CN"/>
        </w:rPr>
      </w:pPr>
      <w:r>
        <w:rPr>
          <w:rFonts w:hint="eastAsia" w:eastAsia="仿宋_GB2312"/>
          <w:bCs/>
          <w:sz w:val="24"/>
          <w:lang w:val="en-US" w:eastAsia="zh-CN"/>
        </w:rPr>
        <w:t>（1）更改了品种选择。修订原因及试验验证分析：</w:t>
      </w:r>
      <w:r>
        <w:rPr>
          <w:rFonts w:hint="eastAsia" w:ascii="Times New Roman" w:hAnsi="Times New Roman" w:eastAsia="仿宋_GB2312"/>
          <w:bCs/>
          <w:sz w:val="24"/>
          <w:szCs w:val="24"/>
        </w:rPr>
        <w:t>本指标</w:t>
      </w:r>
      <w:r>
        <w:rPr>
          <w:rFonts w:hint="eastAsia" w:eastAsia="仿宋_GB2312"/>
          <w:bCs/>
          <w:sz w:val="24"/>
          <w:szCs w:val="24"/>
          <w:lang w:val="en-US" w:eastAsia="zh-CN"/>
        </w:rPr>
        <w:t>的修订</w:t>
      </w:r>
      <w:r>
        <w:rPr>
          <w:rFonts w:hint="eastAsia" w:ascii="Times New Roman" w:hAnsi="Times New Roman" w:eastAsia="仿宋_GB2312"/>
          <w:bCs/>
          <w:sz w:val="24"/>
          <w:szCs w:val="24"/>
        </w:rPr>
        <w:t>主要采用山西省煤基重点科技攻关项目“设施蔬菜高效固碳技术研究与示范”（项目编号：FT201402）子项目“高效固碳蔬菜种类、品种和评价指标筛选及CO</w:t>
      </w:r>
      <w:r>
        <w:rPr>
          <w:rFonts w:hint="eastAsia" w:ascii="Times New Roman" w:hAnsi="Times New Roman" w:eastAsia="仿宋_GB2312"/>
          <w:bCs/>
          <w:sz w:val="24"/>
          <w:szCs w:val="24"/>
          <w:vertAlign w:val="subscript"/>
        </w:rPr>
        <w:t>2</w:t>
      </w:r>
      <w:r>
        <w:rPr>
          <w:rFonts w:hint="eastAsia" w:ascii="Times New Roman" w:hAnsi="Times New Roman" w:eastAsia="仿宋_GB2312"/>
          <w:bCs/>
          <w:sz w:val="24"/>
          <w:szCs w:val="24"/>
        </w:rPr>
        <w:t>敏感基因挖掘”的相关试验结果。</w:t>
      </w:r>
      <w:r>
        <w:rPr>
          <w:rFonts w:hint="eastAsia" w:eastAsia="仿宋_GB2312"/>
          <w:bCs/>
          <w:sz w:val="24"/>
          <w:szCs w:val="24"/>
          <w:lang w:val="en-US" w:eastAsia="zh-CN"/>
        </w:rPr>
        <w:t>不同品种对CO</w:t>
      </w:r>
      <w:r>
        <w:rPr>
          <w:rFonts w:hint="eastAsia" w:eastAsia="仿宋_GB2312"/>
          <w:bCs/>
          <w:sz w:val="24"/>
          <w:szCs w:val="24"/>
          <w:vertAlign w:val="subscript"/>
          <w:lang w:val="en-US" w:eastAsia="zh-CN"/>
        </w:rPr>
        <w:t>2</w:t>
      </w:r>
      <w:r>
        <w:rPr>
          <w:rFonts w:hint="eastAsia" w:eastAsia="仿宋_GB2312"/>
          <w:bCs/>
          <w:sz w:val="24"/>
          <w:szCs w:val="24"/>
          <w:vertAlign w:val="baseline"/>
          <w:lang w:val="en-US" w:eastAsia="zh-CN"/>
        </w:rPr>
        <w:t>的敏感性不同，</w:t>
      </w:r>
      <w:r>
        <w:rPr>
          <w:rFonts w:hint="eastAsia" w:eastAsia="仿宋_GB2312"/>
          <w:bCs/>
          <w:sz w:val="24"/>
          <w:szCs w:val="24"/>
          <w:lang w:val="en-US" w:eastAsia="zh-CN"/>
        </w:rPr>
        <w:t>CO</w:t>
      </w:r>
      <w:r>
        <w:rPr>
          <w:rFonts w:hint="eastAsia" w:eastAsia="仿宋_GB2312"/>
          <w:bCs/>
          <w:sz w:val="24"/>
          <w:szCs w:val="24"/>
          <w:vertAlign w:val="subscript"/>
          <w:lang w:val="en-US" w:eastAsia="zh-CN"/>
        </w:rPr>
        <w:t>2</w:t>
      </w:r>
      <w:r>
        <w:rPr>
          <w:rFonts w:hint="eastAsia" w:eastAsia="仿宋_GB2312"/>
          <w:bCs/>
          <w:sz w:val="24"/>
          <w:szCs w:val="24"/>
          <w:vertAlign w:val="baseline"/>
          <w:lang w:val="en-US" w:eastAsia="zh-CN"/>
        </w:rPr>
        <w:t>敏感型品种增施</w:t>
      </w:r>
      <w:r>
        <w:rPr>
          <w:rFonts w:hint="eastAsia" w:eastAsia="仿宋_GB2312"/>
          <w:bCs/>
          <w:sz w:val="24"/>
          <w:szCs w:val="24"/>
          <w:lang w:val="en-US" w:eastAsia="zh-CN"/>
        </w:rPr>
        <w:t>CO</w:t>
      </w:r>
      <w:r>
        <w:rPr>
          <w:rFonts w:hint="eastAsia" w:eastAsia="仿宋_GB2312"/>
          <w:bCs/>
          <w:sz w:val="24"/>
          <w:szCs w:val="24"/>
          <w:vertAlign w:val="subscript"/>
          <w:lang w:val="en-US" w:eastAsia="zh-CN"/>
        </w:rPr>
        <w:t>2</w:t>
      </w:r>
      <w:r>
        <w:rPr>
          <w:rFonts w:hint="eastAsia" w:eastAsia="仿宋_GB2312"/>
          <w:bCs/>
          <w:sz w:val="24"/>
          <w:szCs w:val="24"/>
          <w:vertAlign w:val="baseline"/>
          <w:lang w:val="en-US" w:eastAsia="zh-CN"/>
        </w:rPr>
        <w:t>以后植株生长发育加快。故在茄果类蔬菜和瓜类蔬菜的品种选择中增加了“</w:t>
      </w:r>
      <w:r>
        <w:rPr>
          <w:rFonts w:hint="eastAsia" w:eastAsia="仿宋_GB2312"/>
          <w:bCs/>
          <w:sz w:val="24"/>
          <w:szCs w:val="24"/>
          <w:lang w:val="en-US" w:eastAsia="zh-CN"/>
        </w:rPr>
        <w:t>CO</w:t>
      </w:r>
      <w:r>
        <w:rPr>
          <w:rFonts w:hint="eastAsia" w:eastAsia="仿宋_GB2312"/>
          <w:bCs/>
          <w:sz w:val="24"/>
          <w:szCs w:val="24"/>
          <w:vertAlign w:val="subscript"/>
          <w:lang w:val="en-US" w:eastAsia="zh-CN"/>
        </w:rPr>
        <w:t>2</w:t>
      </w:r>
      <w:r>
        <w:rPr>
          <w:rFonts w:hint="eastAsia" w:eastAsia="仿宋_GB2312"/>
          <w:bCs/>
          <w:sz w:val="24"/>
          <w:szCs w:val="24"/>
          <w:vertAlign w:val="baseline"/>
          <w:lang w:val="en-US" w:eastAsia="zh-CN"/>
        </w:rPr>
        <w:t>敏感型”。</w:t>
      </w:r>
    </w:p>
    <w:p>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szCs w:val="24"/>
          <w:vertAlign w:val="baseline"/>
          <w:lang w:val="en-US" w:eastAsia="zh-CN"/>
        </w:rPr>
      </w:pPr>
      <w:r>
        <w:rPr>
          <w:rFonts w:hint="eastAsia" w:eastAsia="仿宋_GB2312"/>
          <w:bCs/>
          <w:sz w:val="24"/>
          <w:szCs w:val="24"/>
          <w:vertAlign w:val="baseline"/>
          <w:lang w:val="en-US" w:eastAsia="zh-CN"/>
        </w:rPr>
        <w:t>（2）更改了温度管理。修订原因及试验验证分析：本指标的修订主要采用山西省煤基重点科技攻关项目“设施蔬菜高效固碳技术研究与示范”（项目编号：FT201402）子项目“设施蔬菜CO</w:t>
      </w:r>
      <w:r>
        <w:rPr>
          <w:rFonts w:hint="eastAsia" w:eastAsia="仿宋_GB2312"/>
          <w:bCs/>
          <w:sz w:val="24"/>
          <w:szCs w:val="24"/>
          <w:vertAlign w:val="subscript"/>
          <w:lang w:val="en-US" w:eastAsia="zh-CN"/>
        </w:rPr>
        <w:t>2</w:t>
      </w:r>
      <w:r>
        <w:rPr>
          <w:rFonts w:hint="eastAsia" w:eastAsia="仿宋_GB2312"/>
          <w:bCs/>
          <w:sz w:val="24"/>
          <w:szCs w:val="24"/>
          <w:vertAlign w:val="baseline"/>
          <w:lang w:val="en-US" w:eastAsia="zh-CN"/>
        </w:rPr>
        <w:t>响应与相关生态因子耦合机制研究”的相关试验结果。在比正常栽培管理温度稍高的情况下，CO</w:t>
      </w:r>
      <w:r>
        <w:rPr>
          <w:rFonts w:hint="eastAsia" w:eastAsia="仿宋_GB2312"/>
          <w:bCs/>
          <w:sz w:val="24"/>
          <w:szCs w:val="24"/>
          <w:vertAlign w:val="subscript"/>
          <w:lang w:val="en-US" w:eastAsia="zh-CN"/>
        </w:rPr>
        <w:t>2</w:t>
      </w:r>
      <w:r>
        <w:rPr>
          <w:rFonts w:hint="eastAsia" w:eastAsia="仿宋_GB2312"/>
          <w:bCs/>
          <w:sz w:val="24"/>
          <w:szCs w:val="24"/>
          <w:vertAlign w:val="baseline"/>
          <w:lang w:val="en-US" w:eastAsia="zh-CN"/>
        </w:rPr>
        <w:t>的利用效率更高，因此对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eastAsia="仿宋_GB2312"/>
          <w:bCs/>
          <w:sz w:val="24"/>
          <w:vertAlign w:val="baseline"/>
          <w:lang w:val="en-US" w:eastAsia="zh-CN"/>
        </w:rPr>
      </w:pPr>
      <w:r>
        <w:rPr>
          <w:rFonts w:hint="eastAsia" w:eastAsia="仿宋_GB2312"/>
          <w:bCs/>
          <w:sz w:val="24"/>
          <w:lang w:val="en-US" w:eastAsia="zh-CN"/>
        </w:rPr>
        <w:t>CO</w:t>
      </w:r>
      <w:r>
        <w:rPr>
          <w:rFonts w:hint="eastAsia" w:eastAsia="仿宋_GB2312"/>
          <w:bCs/>
          <w:sz w:val="24"/>
          <w:vertAlign w:val="subscript"/>
          <w:lang w:val="en-US" w:eastAsia="zh-CN"/>
        </w:rPr>
        <w:t>2</w:t>
      </w:r>
      <w:r>
        <w:rPr>
          <w:rFonts w:hint="eastAsia" w:eastAsia="仿宋_GB2312"/>
          <w:bCs/>
          <w:sz w:val="24"/>
          <w:vertAlign w:val="baseline"/>
          <w:lang w:val="en-US" w:eastAsia="zh-CN"/>
        </w:rPr>
        <w:t>施肥期间的温度进行了调整。另外实际生产中用嫁接苗居多，故对嫁接苗生长期的温度进行了补充。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vertAlign w:val="baseline"/>
          <w:lang w:val="en-US" w:eastAsia="zh-CN"/>
        </w:rPr>
      </w:pPr>
      <w:r>
        <w:rPr>
          <w:rFonts w:hint="eastAsia" w:eastAsia="仿宋_GB2312"/>
          <w:bCs/>
          <w:sz w:val="24"/>
          <w:vertAlign w:val="baseline"/>
          <w:lang w:val="en-US" w:eastAsia="zh-CN"/>
        </w:rPr>
        <w:t>（3）更改了二氧化碳施肥浓度。</w:t>
      </w:r>
      <w:r>
        <w:rPr>
          <w:rFonts w:hint="eastAsia" w:eastAsia="仿宋_GB2312"/>
          <w:bCs/>
          <w:sz w:val="24"/>
          <w:szCs w:val="24"/>
          <w:vertAlign w:val="baseline"/>
          <w:lang w:val="en-US" w:eastAsia="zh-CN"/>
        </w:rPr>
        <w:t>修订原因及试验验证分析：本指标的修订主要采用山西省煤基重点科技攻关项目“设施蔬菜高效固碳技术研究与示范”（项目编号：FT201402）子项目“高效固碳蔬菜种类、品种和评价指标筛选及CO</w:t>
      </w:r>
      <w:r>
        <w:rPr>
          <w:rFonts w:hint="eastAsia" w:eastAsia="仿宋_GB2312"/>
          <w:bCs/>
          <w:sz w:val="24"/>
          <w:szCs w:val="24"/>
          <w:vertAlign w:val="subscript"/>
          <w:lang w:val="en-US" w:eastAsia="zh-CN"/>
        </w:rPr>
        <w:t>2</w:t>
      </w:r>
      <w:r>
        <w:rPr>
          <w:rFonts w:hint="eastAsia" w:eastAsia="仿宋_GB2312"/>
          <w:bCs/>
          <w:sz w:val="24"/>
          <w:szCs w:val="24"/>
          <w:vertAlign w:val="baseline"/>
          <w:lang w:val="en-US" w:eastAsia="zh-CN"/>
        </w:rPr>
        <w:t>敏感基因挖掘”的相关试验结果。细化</w:t>
      </w:r>
      <w:r>
        <w:rPr>
          <w:rFonts w:hint="eastAsia" w:eastAsia="仿宋_GB2312"/>
          <w:bCs/>
          <w:sz w:val="24"/>
          <w:vertAlign w:val="baseline"/>
          <w:lang w:val="en-US" w:eastAsia="zh-CN"/>
        </w:rPr>
        <w:t>各种蔬菜CO</w:t>
      </w:r>
      <w:r>
        <w:rPr>
          <w:rFonts w:hint="eastAsia" w:eastAsia="仿宋_GB2312"/>
          <w:bCs/>
          <w:sz w:val="24"/>
          <w:vertAlign w:val="subscript"/>
          <w:lang w:val="en-US" w:eastAsia="zh-CN"/>
        </w:rPr>
        <w:t>2</w:t>
      </w:r>
      <w:r>
        <w:rPr>
          <w:rFonts w:hint="eastAsia" w:eastAsia="仿宋_GB2312"/>
          <w:bCs/>
          <w:sz w:val="24"/>
          <w:vertAlign w:val="baseline"/>
          <w:lang w:val="en-US" w:eastAsia="zh-CN"/>
        </w:rPr>
        <w:t>施肥开始时期、结束时期和浓度。</w:t>
      </w: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无重大意见分歧。</w:t>
      </w:r>
    </w:p>
    <w:p>
      <w:pPr>
        <w:spacing w:line="360" w:lineRule="auto"/>
        <w:ind w:firstLine="480" w:firstLineChars="200"/>
        <w:jc w:val="left"/>
        <w:rPr>
          <w:rFonts w:hint="default" w:ascii="仿宋_GB2312" w:hAnsi="宋体" w:eastAsia="仿宋_GB2312"/>
          <w:sz w:val="24"/>
          <w:lang w:val="en-US" w:eastAsia="zh-CN"/>
        </w:rPr>
      </w:pPr>
      <w:r>
        <w:rPr>
          <w:rFonts w:hint="eastAsia" w:ascii="仿宋_GB2312" w:hAnsi="宋体" w:eastAsia="仿宋_GB2312"/>
          <w:sz w:val="24"/>
          <w:lang w:val="en-US" w:eastAsia="zh-CN"/>
        </w:rPr>
        <w:t>征求意见汇总处理表见附表。</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spacing w:line="360" w:lineRule="auto"/>
        <w:ind w:firstLine="480" w:firstLineChars="200"/>
        <w:outlineLvl w:val="0"/>
        <w:rPr>
          <w:rFonts w:hint="default" w:ascii="仿宋_GB2312" w:hAnsi="宋体" w:eastAsia="仿宋_GB2312"/>
          <w:sz w:val="24"/>
          <w:lang w:val="en-US" w:eastAsia="zh-CN"/>
        </w:rPr>
      </w:pPr>
      <w:r>
        <w:rPr>
          <w:rFonts w:hint="eastAsia" w:ascii="仿宋_GB2312" w:hAnsi="宋体" w:eastAsia="仿宋_GB2312"/>
          <w:sz w:val="24"/>
          <w:lang w:val="en-US" w:eastAsia="zh-CN"/>
        </w:rPr>
        <w:t>本标准在省内外只有一个，标准的条款设置和技术要求采用了国家的有关规定，并从果菜类蔬菜高效固碳育苗实际出发，结合山西省当地实际情况进行制定。因此，本标准为国内领先。目前国外尚无此种结构或类型的标准，无可比性。</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eastAsia="黑体"/>
          <w:sz w:val="24"/>
          <w:lang w:eastAsia="zh-CN"/>
        </w:rPr>
        <w:t>、</w:t>
      </w:r>
      <w:r>
        <w:rPr>
          <w:rFonts w:hint="eastAsia" w:ascii="黑体" w:hAnsi="黑体" w:eastAsia="黑体"/>
          <w:sz w:val="24"/>
          <w:szCs w:val="24"/>
        </w:rPr>
        <w:t>作为推荐性标准或者强制性标准的建议及其理由。</w:t>
      </w:r>
    </w:p>
    <w:p>
      <w:pPr>
        <w:spacing w:line="360" w:lineRule="auto"/>
        <w:ind w:firstLine="480" w:firstLineChars="200"/>
        <w:jc w:val="left"/>
        <w:rPr>
          <w:rFonts w:ascii="仿宋_GB2312" w:hAnsi="宋体" w:eastAsia="仿宋_GB2312"/>
          <w:sz w:val="24"/>
        </w:rPr>
      </w:pPr>
      <w:r>
        <w:rPr>
          <w:rFonts w:ascii="仿宋_GB2312" w:hAnsi="宋体" w:eastAsia="仿宋_GB2312"/>
          <w:sz w:val="24"/>
        </w:rPr>
        <w:t>建议本标准</w:t>
      </w:r>
      <w:r>
        <w:rPr>
          <w:rFonts w:hint="eastAsia" w:ascii="仿宋_GB2312" w:hAnsi="宋体" w:eastAsia="仿宋_GB2312"/>
          <w:sz w:val="24"/>
          <w:lang w:val="en-US" w:eastAsia="zh-CN"/>
        </w:rPr>
        <w:t>作</w:t>
      </w:r>
      <w:r>
        <w:rPr>
          <w:rFonts w:ascii="仿宋_GB2312" w:hAnsi="宋体" w:eastAsia="仿宋_GB2312"/>
          <w:sz w:val="24"/>
        </w:rPr>
        <w:t>为推荐性</w:t>
      </w:r>
      <w:r>
        <w:rPr>
          <w:rFonts w:hint="eastAsia" w:ascii="仿宋_GB2312" w:hAnsi="宋体" w:eastAsia="仿宋_GB2312"/>
          <w:sz w:val="24"/>
          <w:lang w:val="en-US" w:eastAsia="zh-CN"/>
        </w:rPr>
        <w:t>山西省地方</w:t>
      </w:r>
      <w:r>
        <w:rPr>
          <w:rFonts w:ascii="仿宋_GB2312" w:hAnsi="宋体" w:eastAsia="仿宋_GB2312"/>
          <w:sz w:val="24"/>
        </w:rPr>
        <w:t>标准</w:t>
      </w:r>
      <w:r>
        <w:rPr>
          <w:rFonts w:hint="eastAsia" w:ascii="仿宋_GB2312" w:hAnsi="宋体" w:eastAsia="仿宋_GB2312"/>
          <w:sz w:val="24"/>
          <w:lang w:val="en-US" w:eastAsia="zh-CN"/>
        </w:rPr>
        <w:t>发布实施</w:t>
      </w:r>
      <w:r>
        <w:rPr>
          <w:rFonts w:ascii="仿宋_GB2312" w:hAnsi="宋体" w:eastAsia="仿宋_GB2312"/>
          <w:sz w:val="24"/>
        </w:rPr>
        <w:t>。</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1、加大媒体宣传力度</w:t>
      </w:r>
    </w:p>
    <w:p>
      <w:pPr>
        <w:spacing w:line="360" w:lineRule="auto"/>
        <w:ind w:firstLine="480" w:firstLineChars="200"/>
        <w:jc w:val="left"/>
        <w:rPr>
          <w:rFonts w:hint="default" w:ascii="仿宋_GB2312" w:hAnsi="宋体" w:eastAsia="仿宋_GB2312"/>
          <w:sz w:val="24"/>
          <w:lang w:val="en-US" w:eastAsia="zh-CN"/>
        </w:rPr>
      </w:pPr>
      <w:r>
        <w:rPr>
          <w:rFonts w:hint="default" w:ascii="仿宋_GB2312" w:hAnsi="宋体" w:eastAsia="仿宋_GB2312"/>
          <w:sz w:val="24"/>
          <w:lang w:val="en-US" w:eastAsia="zh-CN"/>
        </w:rPr>
        <w:t>把标准的实施作为提升山西省设施蔬菜固碳生产技术水平的重要推手，作为山西省蔬菜产业技术体系重点工作，在山西省市场监管局开办的“标准公益大讲堂”宣贯，将该技术标准普及到基层生产企业和农民手中。</w:t>
      </w:r>
    </w:p>
    <w:p>
      <w:pPr>
        <w:numPr>
          <w:ilvl w:val="0"/>
          <w:numId w:val="5"/>
        </w:num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建立标准化示范园</w:t>
      </w:r>
    </w:p>
    <w:p>
      <w:pPr>
        <w:numPr>
          <w:ilvl w:val="0"/>
          <w:numId w:val="0"/>
        </w:num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通过在山西省境内主要育苗场建立该标准示范点，树立样板，奖励典型，以点带面，推进本标准的广泛实施。</w:t>
      </w:r>
    </w:p>
    <w:p>
      <w:pPr>
        <w:numPr>
          <w:ilvl w:val="0"/>
          <w:numId w:val="5"/>
        </w:numPr>
        <w:spacing w:line="360" w:lineRule="auto"/>
        <w:ind w:left="0" w:leftChars="0"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加强技术培训</w:t>
      </w:r>
    </w:p>
    <w:p>
      <w:pPr>
        <w:widowControl w:val="0"/>
        <w:numPr>
          <w:ilvl w:val="0"/>
          <w:numId w:val="0"/>
        </w:numPr>
        <w:spacing w:line="360" w:lineRule="auto"/>
        <w:ind w:firstLine="480" w:firstLineChars="200"/>
        <w:jc w:val="left"/>
        <w:rPr>
          <w:rFonts w:hint="eastAsia" w:ascii="仿宋_GB2312" w:hAnsi="宋体" w:eastAsia="仿宋_GB2312"/>
          <w:sz w:val="24"/>
          <w:lang w:val="en-US" w:eastAsia="zh-CN"/>
        </w:rPr>
        <w:sectPr>
          <w:footerReference r:id="rId3" w:type="default"/>
          <w:pgSz w:w="11906" w:h="16838"/>
          <w:pgMar w:top="1440" w:right="1803" w:bottom="1440" w:left="1803" w:header="851" w:footer="992" w:gutter="0"/>
          <w:pgNumType w:start="1"/>
          <w:cols w:space="0" w:num="1"/>
          <w:titlePg/>
          <w:rtlGutter w:val="0"/>
          <w:docGrid w:type="lines" w:linePitch="319" w:charSpace="0"/>
        </w:sectPr>
      </w:pPr>
      <w:r>
        <w:rPr>
          <w:rFonts w:hint="eastAsia" w:ascii="仿宋_GB2312" w:hAnsi="宋体" w:eastAsia="仿宋_GB2312"/>
          <w:sz w:val="24"/>
          <w:lang w:val="en-US" w:eastAsia="zh-CN"/>
        </w:rPr>
        <w:t>在本标准发布实施初期，在各个示范点进行果菜类蔬菜固碳育苗标准化技术人员的培训及现场指导，做好技术示范。加大宣传、加强培训，树立质量意识、服务意识，以点带面、深入指导、层层培训，确保技术进村入户。</w:t>
      </w: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附表</w:t>
      </w:r>
    </w:p>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《果菜类蔬菜高效固碳育苗技术规程》地方标准征求意见汇总处理表</w:t>
      </w:r>
    </w:p>
    <w:p>
      <w:pPr>
        <w:jc w:val="left"/>
        <w:rPr>
          <w:rFonts w:hint="eastAsia" w:ascii="仿宋_GB2312" w:hAnsi="宋体" w:eastAsia="仿宋_GB2312"/>
          <w:color w:val="auto"/>
          <w:sz w:val="24"/>
          <w:lang w:val="en-US" w:eastAsia="zh-CN"/>
        </w:rPr>
      </w:pPr>
      <w:r>
        <w:rPr>
          <w:rFonts w:hint="eastAsia" w:ascii="仿宋_GB2312" w:hAnsi="宋体" w:eastAsia="仿宋_GB2312"/>
          <w:color w:val="auto"/>
          <w:sz w:val="24"/>
          <w:lang w:val="en-US" w:eastAsia="zh-CN"/>
        </w:rPr>
        <w:t xml:space="preserve">起草单位：山西农业大学、新绛县蔬菜发展中心、左云县鹊儿山镇便民服务中心                       承办人：张静   </w:t>
      </w:r>
    </w:p>
    <w:p>
      <w:pPr>
        <w:jc w:val="left"/>
        <w:rPr>
          <w:rFonts w:hint="default" w:ascii="仿宋_GB2312" w:hAnsi="宋体" w:eastAsia="仿宋_GB2312"/>
          <w:color w:val="auto"/>
          <w:sz w:val="24"/>
          <w:lang w:val="en-US" w:eastAsia="zh-CN"/>
        </w:rPr>
      </w:pPr>
      <w:r>
        <w:rPr>
          <w:rFonts w:hint="eastAsia" w:ascii="仿宋_GB2312" w:hAnsi="宋体" w:eastAsia="仿宋_GB2312"/>
          <w:color w:val="auto"/>
          <w:sz w:val="24"/>
          <w:lang w:val="en-US" w:eastAsia="zh-CN"/>
        </w:rPr>
        <w:t>联系电话：18404969610                                                                      填写时间：2024年2月17日</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2000"/>
        <w:gridCol w:w="3888"/>
        <w:gridCol w:w="2450"/>
        <w:gridCol w:w="2592"/>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881" w:type="dxa"/>
            <w:vAlign w:val="center"/>
          </w:tcPr>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序号</w:t>
            </w:r>
          </w:p>
        </w:tc>
        <w:tc>
          <w:tcPr>
            <w:tcW w:w="2000" w:type="dxa"/>
            <w:vAlign w:val="center"/>
          </w:tcPr>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标准章条编号</w:t>
            </w:r>
          </w:p>
        </w:tc>
        <w:tc>
          <w:tcPr>
            <w:tcW w:w="3888" w:type="dxa"/>
            <w:vAlign w:val="center"/>
          </w:tcPr>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意见内容</w:t>
            </w:r>
          </w:p>
        </w:tc>
        <w:tc>
          <w:tcPr>
            <w:tcW w:w="2450" w:type="dxa"/>
            <w:vAlign w:val="center"/>
          </w:tcPr>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提出单位（或个人）</w:t>
            </w:r>
          </w:p>
        </w:tc>
        <w:tc>
          <w:tcPr>
            <w:tcW w:w="2592" w:type="dxa"/>
            <w:vAlign w:val="center"/>
          </w:tcPr>
          <w:p>
            <w:pPr>
              <w:jc w:val="center"/>
              <w:rPr>
                <w:rFonts w:hint="eastAsia"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处理意见</w:t>
            </w:r>
          </w:p>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（采纳/不采纳）</w:t>
            </w:r>
          </w:p>
        </w:tc>
        <w:tc>
          <w:tcPr>
            <w:tcW w:w="2363" w:type="dxa"/>
            <w:vAlign w:val="center"/>
          </w:tcPr>
          <w:p>
            <w:pPr>
              <w:jc w:val="center"/>
              <w:rPr>
                <w:rFonts w:hint="eastAsia"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意见处理说明</w:t>
            </w:r>
          </w:p>
          <w:p>
            <w:pPr>
              <w:jc w:val="center"/>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exact"/>
        </w:trPr>
        <w:tc>
          <w:tcPr>
            <w:tcW w:w="8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1</w:t>
            </w:r>
          </w:p>
        </w:tc>
        <w:tc>
          <w:tcPr>
            <w:tcW w:w="20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3 术语和定义</w:t>
            </w:r>
          </w:p>
        </w:tc>
        <w:tc>
          <w:tcPr>
            <w:tcW w:w="38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建议将“3.2 穴盘育苗、3.3 液体钢瓶释放法、3.4 商品气肥法、3.5 劈接法、3.6 插接法”删除。</w:t>
            </w:r>
          </w:p>
        </w:tc>
        <w:tc>
          <w:tcPr>
            <w:tcW w:w="24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山西省园艺产业</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发展中心</w:t>
            </w:r>
          </w:p>
        </w:tc>
        <w:tc>
          <w:tcPr>
            <w:tcW w:w="259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trPr>
        <w:tc>
          <w:tcPr>
            <w:tcW w:w="8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2</w:t>
            </w:r>
          </w:p>
        </w:tc>
        <w:tc>
          <w:tcPr>
            <w:tcW w:w="20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vertAlign w:val="baseline"/>
                <w:lang w:val="en-US" w:eastAsia="zh-CN"/>
              </w:rPr>
              <w:t>3 术语和定义</w:t>
            </w:r>
          </w:p>
        </w:tc>
        <w:tc>
          <w:tcPr>
            <w:tcW w:w="38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建议将“3.1 高效固碳育苗”修订为“3.1 固碳生产”。</w:t>
            </w:r>
          </w:p>
        </w:tc>
        <w:tc>
          <w:tcPr>
            <w:tcW w:w="24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山西省园艺产业</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eastAsia="仿宋_GB2312"/>
                <w:bCs/>
                <w:sz w:val="24"/>
                <w:lang w:val="en-US" w:eastAsia="zh-CN"/>
              </w:rPr>
            </w:pPr>
            <w:r>
              <w:rPr>
                <w:rFonts w:hint="eastAsia" w:ascii="仿宋_GB2312" w:hAnsi="宋体" w:eastAsia="仿宋_GB2312"/>
                <w:color w:val="auto"/>
                <w:sz w:val="24"/>
                <w:vertAlign w:val="baseline"/>
                <w:lang w:val="en-US" w:eastAsia="zh-CN"/>
              </w:rPr>
              <w:t>发展中心</w:t>
            </w:r>
          </w:p>
        </w:tc>
        <w:tc>
          <w:tcPr>
            <w:tcW w:w="259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trPr>
        <w:tc>
          <w:tcPr>
            <w:tcW w:w="8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3</w:t>
            </w:r>
          </w:p>
        </w:tc>
        <w:tc>
          <w:tcPr>
            <w:tcW w:w="20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4 温室环境</w:t>
            </w:r>
          </w:p>
        </w:tc>
        <w:tc>
          <w:tcPr>
            <w:tcW w:w="38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建议将“4 温室环境”修订为“4 育苗环境”。</w:t>
            </w:r>
          </w:p>
        </w:tc>
        <w:tc>
          <w:tcPr>
            <w:tcW w:w="24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eastAsia="仿宋_GB2312"/>
                <w:bCs/>
                <w:sz w:val="24"/>
                <w:lang w:val="en-US" w:eastAsia="zh-CN"/>
              </w:rPr>
              <w:t>长子县丹西龙鑫农业科技有限公司</w:t>
            </w:r>
          </w:p>
        </w:tc>
        <w:tc>
          <w:tcPr>
            <w:tcW w:w="259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exact"/>
        </w:trPr>
        <w:tc>
          <w:tcPr>
            <w:tcW w:w="8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4</w:t>
            </w:r>
          </w:p>
        </w:tc>
        <w:tc>
          <w:tcPr>
            <w:tcW w:w="20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6 育苗技术</w:t>
            </w:r>
          </w:p>
        </w:tc>
        <w:tc>
          <w:tcPr>
            <w:tcW w:w="38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建议将“6 育苗技术”调整为“6 播前准备、7 播种嫁接、8 苗期管理”。</w:t>
            </w:r>
          </w:p>
        </w:tc>
        <w:tc>
          <w:tcPr>
            <w:tcW w:w="24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山西省检验检测中心</w:t>
            </w:r>
          </w:p>
        </w:tc>
        <w:tc>
          <w:tcPr>
            <w:tcW w:w="259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exact"/>
        </w:trPr>
        <w:tc>
          <w:tcPr>
            <w:tcW w:w="8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vertAlign w:val="baseline"/>
                <w:lang w:val="en-US" w:eastAsia="zh-CN"/>
              </w:rPr>
              <w:t>5</w:t>
            </w:r>
          </w:p>
        </w:tc>
        <w:tc>
          <w:tcPr>
            <w:tcW w:w="20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6 育苗技术</w:t>
            </w:r>
          </w:p>
        </w:tc>
        <w:tc>
          <w:tcPr>
            <w:tcW w:w="388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建议在“6.6.1 温度管理”中补充嫁接苗的温度管理</w:t>
            </w:r>
          </w:p>
        </w:tc>
        <w:tc>
          <w:tcPr>
            <w:tcW w:w="24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s="Times New Roman"/>
                <w:color w:val="auto"/>
                <w:kern w:val="2"/>
                <w:sz w:val="24"/>
                <w:szCs w:val="24"/>
                <w:vertAlign w:val="baseline"/>
                <w:lang w:val="en-US" w:eastAsia="zh-CN" w:bidi="ar-SA"/>
              </w:rPr>
            </w:pPr>
            <w:r>
              <w:rPr>
                <w:rFonts w:hint="default" w:ascii="仿宋_GB2312" w:hAnsi="宋体" w:eastAsia="仿宋_GB2312"/>
                <w:color w:val="auto"/>
                <w:sz w:val="24"/>
                <w:lang w:val="en-US" w:eastAsia="zh-CN"/>
              </w:rPr>
              <w:t>山西巨鑫伟业农业科技开发有限公司</w:t>
            </w:r>
          </w:p>
        </w:tc>
        <w:tc>
          <w:tcPr>
            <w:tcW w:w="259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exact"/>
        </w:trPr>
        <w:tc>
          <w:tcPr>
            <w:tcW w:w="8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vertAlign w:val="baseline"/>
                <w:lang w:val="en-US" w:eastAsia="zh-CN"/>
              </w:rPr>
              <w:t>6</w:t>
            </w:r>
          </w:p>
        </w:tc>
        <w:tc>
          <w:tcPr>
            <w:tcW w:w="20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vertAlign w:val="baseline"/>
                <w:lang w:val="en-US" w:eastAsia="zh-CN"/>
              </w:rPr>
              <w:t>7 二氧化碳施肥</w:t>
            </w:r>
          </w:p>
        </w:tc>
        <w:tc>
          <w:tcPr>
            <w:tcW w:w="38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eastAsia="仿宋_GB2312"/>
                <w:bCs/>
                <w:sz w:val="24"/>
                <w:vertAlign w:val="baseline"/>
                <w:lang w:val="en-US" w:eastAsia="zh-CN"/>
              </w:rPr>
            </w:pPr>
            <w:r>
              <w:rPr>
                <w:rFonts w:hint="eastAsia" w:eastAsia="仿宋_GB2312"/>
                <w:bCs/>
                <w:sz w:val="24"/>
                <w:szCs w:val="24"/>
                <w:vertAlign w:val="baseline"/>
                <w:lang w:val="en-US" w:eastAsia="zh-CN"/>
              </w:rPr>
              <w:t>建议细化</w:t>
            </w:r>
            <w:r>
              <w:rPr>
                <w:rFonts w:hint="eastAsia" w:eastAsia="仿宋_GB2312"/>
                <w:bCs/>
                <w:sz w:val="24"/>
                <w:vertAlign w:val="baseline"/>
                <w:lang w:val="en-US" w:eastAsia="zh-CN"/>
              </w:rPr>
              <w:t>各种蔬菜CO</w:t>
            </w:r>
            <w:r>
              <w:rPr>
                <w:rFonts w:hint="eastAsia" w:eastAsia="仿宋_GB2312"/>
                <w:bCs/>
                <w:sz w:val="24"/>
                <w:vertAlign w:val="subscript"/>
                <w:lang w:val="en-US" w:eastAsia="zh-CN"/>
              </w:rPr>
              <w:t>2</w:t>
            </w:r>
            <w:r>
              <w:rPr>
                <w:rFonts w:hint="eastAsia" w:eastAsia="仿宋_GB2312"/>
                <w:bCs/>
                <w:sz w:val="24"/>
                <w:vertAlign w:val="baseline"/>
                <w:lang w:val="en-US" w:eastAsia="zh-CN"/>
              </w:rPr>
              <w:t>施肥开始时期、结束时期和浓度。</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vertAlign w:val="baseline"/>
                <w:lang w:val="en-US" w:eastAsia="zh-CN"/>
              </w:rPr>
              <w:t>株高</w:t>
            </w:r>
            <w:r>
              <w:rPr>
                <w:rFonts w:hint="default" w:ascii="仿宋_GB2312" w:hAnsi="宋体" w:eastAsia="仿宋_GB2312"/>
                <w:color w:val="auto"/>
                <w:sz w:val="24"/>
                <w:vertAlign w:val="baseline"/>
                <w:lang w:val="en-US" w:eastAsia="zh-CN"/>
              </w:rPr>
              <w:t>进一步斟酌、确定。</w:t>
            </w:r>
          </w:p>
        </w:tc>
        <w:tc>
          <w:tcPr>
            <w:tcW w:w="24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eastAsia="仿宋_GB2312"/>
                <w:bCs/>
                <w:sz w:val="24"/>
                <w:lang w:val="en-US" w:eastAsia="zh-CN"/>
              </w:rPr>
              <w:t>山西省蔬菜产业技术体系相关专家</w:t>
            </w:r>
          </w:p>
        </w:tc>
        <w:tc>
          <w:tcPr>
            <w:tcW w:w="259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vertAlign w:val="baseline"/>
                <w:lang w:val="en-US" w:eastAsia="zh-CN"/>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exact"/>
        </w:trPr>
        <w:tc>
          <w:tcPr>
            <w:tcW w:w="88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r>
              <w:rPr>
                <w:rFonts w:hint="eastAsia" w:ascii="仿宋_GB2312" w:hAnsi="宋体" w:eastAsia="仿宋_GB2312"/>
                <w:color w:val="auto"/>
                <w:sz w:val="24"/>
                <w:vertAlign w:val="baseline"/>
                <w:lang w:val="en-US" w:eastAsia="zh-CN"/>
              </w:rPr>
              <w:t>7</w:t>
            </w:r>
          </w:p>
        </w:tc>
        <w:tc>
          <w:tcPr>
            <w:tcW w:w="2000"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 xml:space="preserve">9 </w:t>
            </w:r>
            <w:r>
              <w:rPr>
                <w:rFonts w:hint="eastAsia" w:ascii="仿宋_GB2312" w:hAnsi="宋体" w:eastAsia="仿宋_GB2312"/>
                <w:color w:val="auto"/>
                <w:sz w:val="24"/>
                <w:lang w:val="en-US" w:eastAsia="zh-CN"/>
              </w:rPr>
              <w:t>育苗</w:t>
            </w:r>
            <w:r>
              <w:rPr>
                <w:rFonts w:hint="eastAsia" w:ascii="仿宋_GB2312" w:hAnsi="宋体" w:eastAsia="仿宋_GB2312"/>
                <w:color w:val="auto"/>
                <w:sz w:val="24"/>
              </w:rPr>
              <w:t>档案</w:t>
            </w:r>
          </w:p>
        </w:tc>
        <w:tc>
          <w:tcPr>
            <w:tcW w:w="3888"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olor w:val="auto"/>
                <w:sz w:val="24"/>
                <w:lang w:val="en-US" w:eastAsia="zh-CN"/>
              </w:rPr>
              <w:t>建议</w:t>
            </w:r>
            <w:r>
              <w:rPr>
                <w:rFonts w:hint="default" w:ascii="仿宋_GB2312" w:hAnsi="宋体" w:eastAsia="仿宋_GB2312"/>
                <w:color w:val="auto"/>
                <w:sz w:val="24"/>
              </w:rPr>
              <w:t>在“</w:t>
            </w:r>
            <w:r>
              <w:rPr>
                <w:rFonts w:hint="eastAsia" w:ascii="仿宋_GB2312" w:hAnsi="宋体" w:eastAsia="仿宋_GB2312"/>
                <w:color w:val="auto"/>
                <w:sz w:val="24"/>
                <w:lang w:val="en-US" w:eastAsia="zh-CN"/>
              </w:rPr>
              <w:t>9育苗</w:t>
            </w:r>
            <w:r>
              <w:rPr>
                <w:rFonts w:hint="default" w:ascii="仿宋_GB2312" w:hAnsi="宋体" w:eastAsia="仿宋_GB2312"/>
                <w:color w:val="auto"/>
                <w:sz w:val="24"/>
              </w:rPr>
              <w:t>档案”中增加资料性附录</w:t>
            </w:r>
            <w:r>
              <w:rPr>
                <w:rFonts w:hint="eastAsia" w:ascii="仿宋_GB2312" w:hAnsi="宋体" w:eastAsia="仿宋_GB2312"/>
                <w:color w:val="auto"/>
                <w:sz w:val="24"/>
                <w:lang w:eastAsia="zh-CN"/>
              </w:rPr>
              <w:t>。</w:t>
            </w:r>
          </w:p>
        </w:tc>
        <w:tc>
          <w:tcPr>
            <w:tcW w:w="24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s="Times New Roman"/>
                <w:color w:val="auto"/>
                <w:kern w:val="2"/>
                <w:sz w:val="24"/>
                <w:szCs w:val="24"/>
                <w:vertAlign w:val="baseline"/>
                <w:lang w:val="en-US" w:eastAsia="zh-CN" w:bidi="ar-SA"/>
              </w:rPr>
            </w:pPr>
            <w:r>
              <w:rPr>
                <w:rFonts w:hint="default" w:ascii="仿宋_GB2312" w:hAnsi="宋体" w:eastAsia="仿宋_GB2312"/>
                <w:color w:val="auto"/>
                <w:sz w:val="24"/>
                <w:lang w:val="en-US" w:eastAsia="zh-CN"/>
              </w:rPr>
              <w:t>山西省检验检测中心</w:t>
            </w:r>
          </w:p>
        </w:tc>
        <w:tc>
          <w:tcPr>
            <w:tcW w:w="2592"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宋体" w:eastAsia="仿宋_GB2312" w:cs="Times New Roman"/>
                <w:color w:val="auto"/>
                <w:kern w:val="2"/>
                <w:sz w:val="24"/>
                <w:szCs w:val="24"/>
                <w:vertAlign w:val="baseline"/>
                <w:lang w:val="en-US" w:eastAsia="zh-CN" w:bidi="ar-SA"/>
              </w:rPr>
            </w:pPr>
            <w:r>
              <w:rPr>
                <w:rFonts w:hint="eastAsia" w:ascii="仿宋_GB2312" w:hAnsi="宋体" w:eastAsia="仿宋_GB2312" w:cs="Times New Roman"/>
                <w:color w:val="auto"/>
                <w:kern w:val="2"/>
                <w:sz w:val="24"/>
                <w:szCs w:val="24"/>
                <w:vertAlign w:val="baseline"/>
                <w:lang w:val="en-US" w:eastAsia="zh-CN" w:bidi="ar-SA"/>
              </w:rPr>
              <w:t>采纳</w:t>
            </w:r>
          </w:p>
        </w:tc>
        <w:tc>
          <w:tcPr>
            <w:tcW w:w="236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olor w:val="auto"/>
                <w:sz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before="161" w:beforeLines="50"/>
        <w:ind w:firstLine="480" w:firstLineChars="200"/>
        <w:jc w:val="left"/>
        <w:textAlignment w:val="auto"/>
        <w:rPr>
          <w:rFonts w:hint="default" w:ascii="仿宋_GB2312" w:hAnsi="宋体" w:eastAsia="仿宋_GB2312"/>
          <w:color w:val="auto"/>
          <w:sz w:val="24"/>
          <w:lang w:val="en-US" w:eastAsia="zh-CN"/>
        </w:rPr>
      </w:pPr>
      <w:r>
        <w:rPr>
          <w:rFonts w:hint="eastAsia" w:ascii="仿宋_GB2312" w:hAnsi="宋体" w:eastAsia="仿宋_GB2312"/>
          <w:color w:val="auto"/>
          <w:sz w:val="24"/>
          <w:lang w:val="en-US" w:eastAsia="zh-CN"/>
        </w:rPr>
        <w:t>本标准共计发出10份征求意见函，收到回复7份，另有3份未回复，视为无意见。7份提出意见的回复中修改建议共7条，采纳7条。</w:t>
      </w:r>
    </w:p>
    <w:p>
      <w:pPr>
        <w:jc w:val="center"/>
        <w:rPr>
          <w:rFonts w:hint="default" w:ascii="仿宋_GB2312" w:hAnsi="宋体" w:eastAsia="仿宋_GB2312"/>
          <w:color w:val="0000FF"/>
          <w:sz w:val="24"/>
          <w:lang w:val="en-US" w:eastAsia="zh-CN"/>
        </w:rPr>
      </w:pPr>
    </w:p>
    <w:sectPr>
      <w:pgSz w:w="16838" w:h="11906" w:orient="landscape"/>
      <w:pgMar w:top="1803" w:right="1440" w:bottom="1803" w:left="1440" w:header="851" w:footer="992" w:gutter="0"/>
      <w:pgNumType w:start="1"/>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angal">
    <w:altName w:val="仿宋_GB2312"/>
    <w:panose1 w:val="00000400000000000000"/>
    <w:charset w:val="01"/>
    <w:family w:val="roman"/>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2</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913CFB"/>
    <w:multiLevelType w:val="singleLevel"/>
    <w:tmpl w:val="AB913CFB"/>
    <w:lvl w:ilvl="0" w:tentative="0">
      <w:start w:val="1"/>
      <w:numFmt w:val="decimal"/>
      <w:suff w:val="nothing"/>
      <w:lvlText w:val="%1、"/>
      <w:lvlJc w:val="left"/>
    </w:lvl>
  </w:abstractNum>
  <w:abstractNum w:abstractNumId="1">
    <w:nsid w:val="EEB30D03"/>
    <w:multiLevelType w:val="singleLevel"/>
    <w:tmpl w:val="EEB30D03"/>
    <w:lvl w:ilvl="0" w:tentative="0">
      <w:start w:val="6"/>
      <w:numFmt w:val="decimal"/>
      <w:suff w:val="nothing"/>
      <w:lvlText w:val="%1、"/>
      <w:lvlJc w:val="left"/>
    </w:lvl>
  </w:abstractNum>
  <w:abstractNum w:abstractNumId="2">
    <w:nsid w:val="FB708872"/>
    <w:multiLevelType w:val="singleLevel"/>
    <w:tmpl w:val="FB708872"/>
    <w:lvl w:ilvl="0" w:tentative="0">
      <w:start w:val="2"/>
      <w:numFmt w:val="decimal"/>
      <w:suff w:val="nothing"/>
      <w:lvlText w:val="%1、"/>
      <w:lvlJc w:val="left"/>
    </w:lvl>
  </w:abstractNum>
  <w:abstractNum w:abstractNumId="3">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false"/>
  <w:bordersDoNotSurroundFooter w:val="false"/>
  <w:doNotTrackMoves/>
  <w:documentProtection w:enforcement="0"/>
  <w:defaultTabStop w:val="420"/>
  <w:drawingGridHorizontalSpacing w:val="105"/>
  <w:drawingGridVerticalSpacing w:val="159"/>
  <w:displayHorizontalDrawingGridEvery w:val="1"/>
  <w:displayVerticalDrawingGridEvery w:val="2"/>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xY2Y1MTlhYWM1ZThjNWZjNzY0MTMxYjE1OGFiZjg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2AD5342"/>
    <w:rsid w:val="05694C99"/>
    <w:rsid w:val="06645C4E"/>
    <w:rsid w:val="068930DD"/>
    <w:rsid w:val="098611D8"/>
    <w:rsid w:val="12A14823"/>
    <w:rsid w:val="16B43DA6"/>
    <w:rsid w:val="16BE0930"/>
    <w:rsid w:val="24D33D4B"/>
    <w:rsid w:val="252141C9"/>
    <w:rsid w:val="2D0F551C"/>
    <w:rsid w:val="31453179"/>
    <w:rsid w:val="31806124"/>
    <w:rsid w:val="344332B9"/>
    <w:rsid w:val="3B2D45F6"/>
    <w:rsid w:val="3CAF30B5"/>
    <w:rsid w:val="3D25D500"/>
    <w:rsid w:val="3E93597C"/>
    <w:rsid w:val="3EEF98DD"/>
    <w:rsid w:val="3F9FD22F"/>
    <w:rsid w:val="41F521E9"/>
    <w:rsid w:val="470749E1"/>
    <w:rsid w:val="478A52AA"/>
    <w:rsid w:val="4BCB5E91"/>
    <w:rsid w:val="4F7B247E"/>
    <w:rsid w:val="51026C00"/>
    <w:rsid w:val="53882F6D"/>
    <w:rsid w:val="57D94567"/>
    <w:rsid w:val="5CFF1606"/>
    <w:rsid w:val="5DFFCE9C"/>
    <w:rsid w:val="5E9F4D9B"/>
    <w:rsid w:val="5FB81DCD"/>
    <w:rsid w:val="617E4879"/>
    <w:rsid w:val="61891B9B"/>
    <w:rsid w:val="618F5C7A"/>
    <w:rsid w:val="63275C4B"/>
    <w:rsid w:val="63BD8BA4"/>
    <w:rsid w:val="65C9123C"/>
    <w:rsid w:val="6BB47639"/>
    <w:rsid w:val="6BFEE3C0"/>
    <w:rsid w:val="6BFF0146"/>
    <w:rsid w:val="6CAF56F8"/>
    <w:rsid w:val="6E5C6DAD"/>
    <w:rsid w:val="6EFD90F7"/>
    <w:rsid w:val="72DE18B7"/>
    <w:rsid w:val="7329008F"/>
    <w:rsid w:val="74392686"/>
    <w:rsid w:val="76626D3B"/>
    <w:rsid w:val="77C6AB6B"/>
    <w:rsid w:val="77FF4F98"/>
    <w:rsid w:val="79FF0142"/>
    <w:rsid w:val="7BFB120F"/>
    <w:rsid w:val="7CDF7325"/>
    <w:rsid w:val="7E751B09"/>
    <w:rsid w:val="7F7F1836"/>
    <w:rsid w:val="7FDE9EE2"/>
    <w:rsid w:val="93EEA786"/>
    <w:rsid w:val="9CFB7DEA"/>
    <w:rsid w:val="ADAF1DB9"/>
    <w:rsid w:val="B497A1DE"/>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6"/>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99"/>
    <w:pPr>
      <w:suppressLineNumbers/>
      <w:suppressAutoHyphens/>
      <w:spacing w:before="120" w:after="120"/>
    </w:pPr>
    <w:rPr>
      <w:rFonts w:cs="Mangal"/>
      <w:i/>
      <w:iCs/>
      <w:kern w:val="21"/>
      <w:sz w:val="24"/>
      <w:lang w:eastAsia="ar-SA"/>
    </w:rPr>
  </w:style>
  <w:style w:type="paragraph" w:styleId="5">
    <w:name w:val="Body Text"/>
    <w:basedOn w:val="1"/>
    <w:link w:val="26"/>
    <w:qFormat/>
    <w:uiPriority w:val="0"/>
    <w:pPr>
      <w:spacing w:after="120"/>
    </w:pPr>
  </w:style>
  <w:style w:type="paragraph" w:styleId="6">
    <w:name w:val="Date"/>
    <w:basedOn w:val="1"/>
    <w:next w:val="1"/>
    <w:link w:val="25"/>
    <w:semiHidden/>
    <w:unhideWhenUsed/>
    <w:qFormat/>
    <w:uiPriority w:val="99"/>
    <w:pPr>
      <w:ind w:left="100" w:leftChars="2500"/>
    </w:p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qFormat/>
    <w:uiPriority w:val="99"/>
    <w:rPr>
      <w:rFonts w:cs="Times New Roman"/>
      <w:b/>
    </w:rPr>
  </w:style>
  <w:style w:type="character" w:customStyle="1" w:styleId="15">
    <w:name w:val="标题 1 Char"/>
    <w:link w:val="2"/>
    <w:qFormat/>
    <w:locked/>
    <w:uiPriority w:val="99"/>
    <w:rPr>
      <w:rFonts w:cs="Times New Roman"/>
      <w:b/>
      <w:kern w:val="1"/>
      <w:sz w:val="44"/>
      <w:lang w:eastAsia="ar-SA" w:bidi="ar-SA"/>
    </w:rPr>
  </w:style>
  <w:style w:type="character" w:customStyle="1" w:styleId="16">
    <w:name w:val="标题 3 Char"/>
    <w:link w:val="3"/>
    <w:qFormat/>
    <w:locked/>
    <w:uiPriority w:val="99"/>
    <w:rPr>
      <w:rFonts w:cs="Times New Roman"/>
      <w:b/>
      <w:kern w:val="21"/>
      <w:sz w:val="32"/>
      <w:lang w:eastAsia="ar-SA" w:bidi="ar-SA"/>
    </w:rPr>
  </w:style>
  <w:style w:type="paragraph" w:styleId="17">
    <w:name w:val="List Paragraph"/>
    <w:basedOn w:val="1"/>
    <w:qFormat/>
    <w:uiPriority w:val="99"/>
    <w:pPr>
      <w:suppressAutoHyphens/>
      <w:ind w:firstLine="420" w:firstLineChars="200"/>
    </w:pPr>
    <w:rPr>
      <w:kern w:val="21"/>
      <w:lang w:eastAsia="ar-SA"/>
    </w:rPr>
  </w:style>
  <w:style w:type="paragraph" w:customStyle="1" w:styleId="18">
    <w:name w:val="段"/>
    <w:link w:val="1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9">
    <w:name w:val="段 Char"/>
    <w:link w:val="18"/>
    <w:qFormat/>
    <w:locked/>
    <w:uiPriority w:val="0"/>
    <w:rPr>
      <w:rFonts w:ascii="宋体" w:cs="Times New Roman"/>
      <w:sz w:val="21"/>
      <w:lang w:val="en-US" w:eastAsia="zh-CN" w:bidi="ar-SA"/>
    </w:rPr>
  </w:style>
  <w:style w:type="character" w:customStyle="1" w:styleId="20">
    <w:name w:val="页眉 Char"/>
    <w:link w:val="9"/>
    <w:qFormat/>
    <w:uiPriority w:val="99"/>
    <w:rPr>
      <w:sz w:val="18"/>
      <w:szCs w:val="18"/>
    </w:rPr>
  </w:style>
  <w:style w:type="character" w:customStyle="1" w:styleId="21">
    <w:name w:val="页脚 Char"/>
    <w:link w:val="8"/>
    <w:qFormat/>
    <w:uiPriority w:val="99"/>
    <w:rPr>
      <w:sz w:val="18"/>
      <w:szCs w:val="18"/>
    </w:rPr>
  </w:style>
  <w:style w:type="character" w:customStyle="1" w:styleId="22">
    <w:name w:val="批注框文本 Char"/>
    <w:link w:val="7"/>
    <w:semiHidden/>
    <w:qFormat/>
    <w:uiPriority w:val="99"/>
    <w:rPr>
      <w:kern w:val="2"/>
      <w:sz w:val="18"/>
      <w:szCs w:val="18"/>
    </w:rPr>
  </w:style>
  <w:style w:type="table" w:customStyle="1" w:styleId="23">
    <w:name w:val="浅色底纹1"/>
    <w:basedOn w:val="11"/>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4">
    <w:name w:val="浅色底纹2"/>
    <w:basedOn w:val="11"/>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5">
    <w:name w:val="日期 Char"/>
    <w:basedOn w:val="13"/>
    <w:link w:val="6"/>
    <w:semiHidden/>
    <w:qFormat/>
    <w:uiPriority w:val="99"/>
    <w:rPr>
      <w:kern w:val="2"/>
      <w:sz w:val="21"/>
      <w:szCs w:val="24"/>
    </w:rPr>
  </w:style>
  <w:style w:type="character" w:customStyle="1" w:styleId="26">
    <w:name w:val="正文文本 Char"/>
    <w:basedOn w:val="13"/>
    <w:link w:val="5"/>
    <w:qFormat/>
    <w:uiPriority w:val="0"/>
    <w:rPr>
      <w:kern w:val="2"/>
      <w:sz w:val="21"/>
      <w:szCs w:val="24"/>
    </w:rPr>
  </w:style>
  <w:style w:type="paragraph" w:customStyle="1" w:styleId="27">
    <w:name w:val="标准文件_段"/>
    <w:link w:val="2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8">
    <w:name w:val="标准文件_段 Char"/>
    <w:link w:val="27"/>
    <w:qFormat/>
    <w:uiPriority w:val="0"/>
    <w:rPr>
      <w:rFonts w:ascii="宋体"/>
      <w:sz w:val="21"/>
    </w:rPr>
  </w:style>
  <w:style w:type="paragraph" w:customStyle="1" w:styleId="29">
    <w:name w:val="一级条标题"/>
    <w:next w:val="18"/>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0">
    <w:name w:val="二级条标题"/>
    <w:basedOn w:val="29"/>
    <w:next w:val="18"/>
    <w:qFormat/>
    <w:uiPriority w:val="0"/>
    <w:pPr>
      <w:numPr>
        <w:ilvl w:val="2"/>
        <w:numId w:val="1"/>
      </w:numPr>
      <w:spacing w:before="50" w:after="50"/>
      <w:outlineLvl w:val="3"/>
    </w:pPr>
  </w:style>
  <w:style w:type="paragraph" w:customStyle="1" w:styleId="31">
    <w:name w:val="附录表标题"/>
    <w:basedOn w:val="1"/>
    <w:next w:val="18"/>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10</Pages>
  <Words>5360</Words>
  <Characters>5873</Characters>
  <Lines>49</Lines>
  <Paragraphs>13</Paragraphs>
  <TotalTime>3</TotalTime>
  <ScaleCrop>false</ScaleCrop>
  <LinksUpToDate>false</LinksUpToDate>
  <CharactersWithSpaces>6066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2017-01-19T07:31:00Z</cp:lastPrinted>
  <dcterms:modified xsi:type="dcterms:W3CDTF">2024-07-09T17:42:52Z</dcterms:modified>
  <cp:revision>536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